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445321-2023-01418</w:t>
      </w:r>
    </w:p>
    <w:p>
      <w:pPr>
        <w:jc w:val="center"/>
      </w:pPr>
      <w:r>
        <w:rPr>
          <w:b/>
          <w:sz w:val="24"/>
        </w:rPr>
        <w:t>采购项目编号：</w:t>
      </w:r>
      <w:r>
        <w:rPr>
          <w:b/>
          <w:sz w:val="24"/>
        </w:rPr>
        <w:t>YC23XX00ZC071</w:t>
      </w:r>
    </w:p>
    <w:p>
      <w:pPr>
        <w:jc w:val="center"/>
      </w:pPr>
      <w:r>
        <w:rPr>
          <w:b/>
          <w:sz w:val="24"/>
        </w:rPr>
        <w:t>项目名称：</w:t>
      </w:r>
      <w:r>
        <w:rPr>
          <w:b/>
          <w:sz w:val="24"/>
        </w:rPr>
        <w:t>新兴县巩固卫生县公共环境病媒生物防制承包服务采购项目</w:t>
      </w:r>
    </w:p>
    <w:p>
      <w:pPr>
        <w:jc w:val="center"/>
      </w:pPr>
      <w:r>
        <w:rPr>
          <w:b/>
          <w:sz w:val="24"/>
        </w:rPr>
        <w:t>采购人：</w:t>
      </w:r>
      <w:r>
        <w:rPr>
          <w:b/>
          <w:sz w:val="24"/>
        </w:rPr>
        <w:t>新兴县卫生健康局</w:t>
      </w:r>
    </w:p>
    <w:p>
      <w:pPr>
        <w:jc w:val="center"/>
      </w:pPr>
      <w:r>
        <w:rPr>
          <w:b/>
          <w:sz w:val="24"/>
        </w:rPr>
        <w:t>采购代理机构：</w:t>
      </w:r>
      <w:r>
        <w:rPr>
          <w:b/>
          <w:sz w:val="24"/>
        </w:rPr>
        <w:t>云浮市永诚招标代理有限公司</w:t>
      </w:r>
    </w:p>
    <w:p>
      <w:pPr>
        <w:ind w:firstLine="480"/>
      </w:pPr>
    </w:p>
    <w:p>
      <w:r>
        <w:rPr/>
        <w:t xml:space="preserve"> </w:t>
      </w:r>
    </w:p>
    <w:p/>
    <w:p>
      <w:pPr>
        <w:jc w:val="center"/>
      </w:pPr>
      <w:r>
        <w:rPr>
          <w:b/>
          <w:sz w:val="36"/>
        </w:rPr>
        <w:t>第一章 磋商邀请</w:t>
      </w:r>
    </w:p>
    <w:p>
      <w:pPr>
        <w:ind w:firstLine="480"/>
      </w:pPr>
      <w:r>
        <w:rPr/>
        <w:t>云浮市永诚招标代理有限公司</w:t>
      </w:r>
      <w:r>
        <w:rPr/>
        <w:t>受</w:t>
      </w:r>
      <w:r>
        <w:rPr/>
        <w:t>新兴县卫生健康局</w:t>
      </w:r>
      <w:r>
        <w:rPr/>
        <w:t>的委托，采用</w:t>
      </w:r>
      <w:r>
        <w:rPr/>
        <w:t>竞争性磋商</w:t>
      </w:r>
      <w:r>
        <w:rPr/>
        <w:t>方式组织采购</w:t>
      </w:r>
      <w:r>
        <w:rPr/>
        <w:t>新兴县巩固卫生县公共环境病媒生物防制承包服务采购项目</w:t>
      </w:r>
      <w:r>
        <w:rPr/>
        <w:t>。欢迎符合资格条件的供应商参加。</w:t>
      </w:r>
    </w:p>
    <w:p>
      <w:r>
        <w:rPr>
          <w:b/>
          <w:sz w:val="28"/>
        </w:rPr>
        <w:t>一.项目概述</w:t>
      </w:r>
    </w:p>
    <w:p>
      <w:r>
        <w:rPr>
          <w:b/>
          <w:sz w:val="24"/>
        </w:rPr>
        <w:t>1.名称与编号</w:t>
      </w:r>
    </w:p>
    <w:p>
      <w:pPr>
        <w:ind w:firstLine="480"/>
      </w:pPr>
      <w:r>
        <w:rPr/>
        <w:t>采购项目名称：</w:t>
      </w:r>
      <w:r>
        <w:rPr/>
        <w:t>新兴县巩固卫生县公共环境病媒生物防制承包服务采购项目</w:t>
      </w:r>
    </w:p>
    <w:p>
      <w:pPr>
        <w:ind w:firstLine="480"/>
      </w:pPr>
      <w:r>
        <w:rPr/>
        <w:t>采购计划编号：</w:t>
      </w:r>
      <w:r>
        <w:rPr/>
        <w:t>445321-2023-01418</w:t>
      </w:r>
    </w:p>
    <w:p>
      <w:pPr>
        <w:ind w:firstLine="480"/>
      </w:pPr>
      <w:r>
        <w:rPr/>
        <w:t>采购项目编号：</w:t>
      </w:r>
      <w:r>
        <w:rPr/>
        <w:t>YC23XX00ZC071</w:t>
      </w:r>
    </w:p>
    <w:p>
      <w:pPr>
        <w:ind w:firstLine="480"/>
      </w:pPr>
      <w:r>
        <w:rPr/>
        <w:t>采购方式：</w:t>
      </w:r>
      <w:r>
        <w:rPr/>
        <w:t>竞争性磋商</w:t>
      </w:r>
    </w:p>
    <w:p>
      <w:pPr>
        <w:ind w:firstLine="480"/>
      </w:pPr>
      <w:r>
        <w:rPr/>
        <w:t>预算金额：</w:t>
      </w:r>
      <w:r>
        <w:rPr/>
        <w:t>1,300,000.00</w:t>
      </w:r>
      <w:r>
        <w:rPr/>
        <w:t>元</w:t>
      </w:r>
    </w:p>
    <w:p>
      <w:r>
        <w:rPr>
          <w:b/>
          <w:sz w:val="24"/>
        </w:rPr>
        <w:t>2.项目内容及需求情况（采购项目技术规格、参数及要求）</w:t>
      </w:r>
    </w:p>
    <w:p>
      <w:pPr>
        <w:ind w:firstLine="480"/>
      </w:pPr>
    </w:p>
    <w:p/>
    <w:p>
      <w:r>
        <w:rPr/>
        <w:t>采购包1(新兴县巩固卫生县公共环境病媒生物防制承包服务采购项目):</w:t>
      </w:r>
    </w:p>
    <w:p>
      <w:r>
        <w:rPr/>
        <w:t>采购包预算金额：1,300,000.00元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公共卫生事件防控服务</w:t>
            </w:r>
          </w:p>
        </w:tc>
        <w:tc>
          <w:tcPr>
            <w:tcW w:type="dxa" w:w="2136"/>
          </w:tcPr>
          <w:p>
            <w:r>
              <w:rPr/>
              <w:t>公共环境病媒生物防制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合同履行期限：本次招标项目的承包期限为：三年。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2）有依法缴纳税收和社会保障资金的良好记录：已对接“粤省事”“粤商通”“粤信签”等系统的，可提供系统的相关查询凭证或截图；或在投标文件中提供该项要求的承诺函。</w:t>
      </w:r>
    </w:p>
    <w:p/>
    <w:p>
      <w:r>
        <w:rPr/>
        <w:t>3）具有良好的商业信誉和健全的财务会计制度：已对接“粤省事”“粤商通”“粤信签”等系统的，可提供系统的相关查询凭证或截图；或在投标文件中提供该项要求的承诺函。</w:t>
      </w:r>
    </w:p>
    <w:p/>
    <w:p>
      <w:r>
        <w:rPr/>
        <w:t>4）履行合同所必需的设备和专业技术能力：在投标文件中提供声明函。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采购包1（新兴县巩固卫生县公共环境病媒生物防制承包服务采购项目）：</w:t>
      </w:r>
      <w:r>
        <w:rPr/>
        <w:t>参与的供应商（联合体）服务全部由符合政策要求的中小企业承接</w:t>
      </w:r>
    </w:p>
    <w:p/>
    <w:p>
      <w:r>
        <w:rPr>
          <w:b/>
          <w:sz w:val="24"/>
        </w:rPr>
        <w:t>3.本项目特定的资格要求：</w:t>
      </w:r>
    </w:p>
    <w:p>
      <w:pPr>
        <w:ind w:firstLine="480"/>
      </w:pPr>
    </w:p>
    <w:p/>
    <w:p>
      <w:r>
        <w:rPr/>
        <w:t>采购包1（新兴县巩固卫生县公共环境病媒生物防制承包服务采购项目）：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新兴县卫生健康局</w:t>
      </w:r>
    </w:p>
    <w:p>
      <w:pPr>
        <w:ind w:firstLine="480"/>
      </w:pPr>
      <w:r>
        <w:rPr/>
        <w:t>地址：</w:t>
      </w:r>
      <w:r>
        <w:rPr/>
        <w:t>新兴县新城镇新洲大道55号</w:t>
      </w:r>
    </w:p>
    <w:p>
      <w:pPr>
        <w:ind w:firstLine="480"/>
      </w:pPr>
      <w:r>
        <w:rPr/>
        <w:t>联系方式：</w:t>
      </w:r>
      <w:r>
        <w:rPr/>
        <w:t>13826869775</w:t>
      </w:r>
    </w:p>
    <w:p>
      <w:r>
        <w:rPr>
          <w:b/>
          <w:sz w:val="24"/>
        </w:rPr>
        <w:t>2.采购代理机构信息</w:t>
      </w:r>
    </w:p>
    <w:p>
      <w:pPr>
        <w:ind w:firstLine="480"/>
      </w:pPr>
      <w:r>
        <w:rPr/>
        <w:t>名称：</w:t>
      </w:r>
      <w:r>
        <w:rPr/>
        <w:t>云浮市永诚招标代理有限公司</w:t>
      </w:r>
    </w:p>
    <w:p>
      <w:pPr>
        <w:ind w:firstLine="480"/>
      </w:pPr>
      <w:r>
        <w:rPr/>
        <w:t>地址：</w:t>
      </w:r>
      <w:r>
        <w:rPr/>
        <w:t>广东省云浮市新兴县百合山花园二期商业街28号商铺</w:t>
      </w:r>
    </w:p>
    <w:p>
      <w:pPr>
        <w:ind w:firstLine="480"/>
      </w:pPr>
      <w:r>
        <w:rPr/>
        <w:t>联系方式：</w:t>
      </w:r>
      <w:r>
        <w:rPr/>
        <w:t>0766-2937696</w:t>
      </w:r>
    </w:p>
    <w:p>
      <w:r>
        <w:rPr>
          <w:b/>
          <w:sz w:val="24"/>
        </w:rPr>
        <w:t>3.项目联系方式</w:t>
      </w:r>
    </w:p>
    <w:p>
      <w:pPr>
        <w:ind w:firstLine="480"/>
      </w:pPr>
      <w:r>
        <w:rPr/>
        <w:t>项目联系人：</w:t>
      </w:r>
      <w:r>
        <w:rPr/>
        <w:t>练英杰</w:t>
      </w:r>
    </w:p>
    <w:p>
      <w:pPr>
        <w:ind w:firstLine="480"/>
      </w:pPr>
      <w:r>
        <w:rPr/>
        <w:t>电话：</w:t>
      </w:r>
      <w:r>
        <w:rPr/>
        <w:t>0766-2937696</w:t>
      </w:r>
    </w:p>
    <w:p>
      <w:r>
        <w:rPr>
          <w:b/>
          <w:sz w:val="24"/>
        </w:rPr>
        <w:t>4.技术支持联系方式</w:t>
      </w:r>
    </w:p>
    <w:p>
      <w:pPr>
        <w:ind w:firstLine="480"/>
      </w:pPr>
      <w:r>
        <w:rPr/>
        <w:t>云平台联系方式：020-88696588</w:t>
      </w:r>
    </w:p>
    <w:p>
      <w:r>
        <w:rPr/>
        <w:t>采购代理机构：</w:t>
      </w:r>
      <w:r>
        <w:rPr/>
        <w:t>云浮市永诚招标代理有限公司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服务范围：</w:t>
      </w:r>
      <w:r>
        <w:rPr>
          <w:sz w:val="21"/>
        </w:rPr>
        <w:t>新兴县城区东至东堤路、温氏科技园，南至冼河桥、南豪酒店，西至广兴大道西，北至新洲大道北、包括城东社区、城南社区、城西社区、城北社区、茅园居委、平康居委、仓夏居委、北街居委、南外居委、塘背居委、桥亭居委、沙亭居委、司背居委、州背居委、锦水居委、枫洞居委、黄塘村委、凤凰村委、水东村委、坡边村委、陇塘村委等</w:t>
      </w:r>
      <w:r>
        <w:rPr>
          <w:sz w:val="21"/>
        </w:rPr>
        <w:t>21</w:t>
      </w:r>
      <w:r>
        <w:rPr>
          <w:sz w:val="21"/>
        </w:rPr>
        <w:t>个村（居）委管辖的大街小巷、居民住宅区和无物业管理小区、公园、广场、待建地、闲置地、下水道、垃圾箱、垃圾中转站、污水涌、死水塘、市场外围周边等室外公共场所，服务范围共计</w:t>
      </w:r>
      <w:r>
        <w:rPr>
          <w:sz w:val="21"/>
        </w:rPr>
        <w:t>16.4</w:t>
      </w:r>
      <w:r>
        <w:rPr>
          <w:sz w:val="21"/>
        </w:rPr>
        <w:t>平方公里。</w:t>
      </w:r>
    </w:p>
    <w:p/>
    <w:p>
      <w:pPr>
        <w:ind w:firstLine="480"/>
      </w:pPr>
    </w:p>
    <w:p/>
    <w:p>
      <w:r>
        <w:rPr/>
        <w:t>采购包1（新兴县巩固卫生县公共环境病媒生物防制承包服务采购项目）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合同签订后3年</w:t>
            </w:r>
          </w:p>
        </w:tc>
      </w:tr>
      <w:tr>
        <w:tc>
          <w:tcPr>
            <w:tcW w:type="dxa" w:w="4153"/>
          </w:tcPr>
          <w:p>
            <w:r>
              <w:rPr/>
              <w:t>标的提供的地点</w:t>
            </w:r>
          </w:p>
        </w:tc>
        <w:tc>
          <w:tcPr>
            <w:tcW w:type="dxa" w:w="4153"/>
          </w:tcPr>
          <w:p/>
          <w:p>
            <w:r>
              <w:rPr/>
              <w:t>采购人指定区域内</w:t>
            </w:r>
          </w:p>
        </w:tc>
      </w:tr>
      <w:tr>
        <w:tc>
          <w:tcPr>
            <w:tcW w:type="dxa" w:w="4153"/>
          </w:tcPr>
          <w:p>
            <w:r>
              <w:rPr/>
              <w:t>付款方式</w:t>
            </w:r>
          </w:p>
        </w:tc>
        <w:tc>
          <w:tcPr>
            <w:tcW w:type="dxa" w:w="4153"/>
          </w:tcPr>
          <w:p/>
          <w:p/>
          <w:p>
            <w:r>
              <w:rPr/>
              <w:t>1期：支付比例100%,自合同签订之日起按季度支付项目承包款，如当季度的服务工作验收不合格，采购人有权拒绝支付当季度项目承包款。</w:t>
            </w:r>
          </w:p>
        </w:tc>
      </w:tr>
      <w:tr>
        <w:tc>
          <w:tcPr>
            <w:tcW w:type="dxa" w:w="4153"/>
          </w:tcPr>
          <w:p>
            <w:r>
              <w:rPr/>
              <w:t>验收要求</w:t>
            </w:r>
          </w:p>
        </w:tc>
        <w:tc>
          <w:tcPr>
            <w:tcW w:type="dxa" w:w="4153"/>
          </w:tcPr>
          <w:p/>
          <w:p/>
          <w:p/>
          <w:p>
            <w:r>
              <w:rPr/>
              <w:t>1期：供应商每季度的服务工作都须通过采购人或第三方的验收，验收标准以用户需求书中《服务内容及要求》的工作规范要求与服务标准为准。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售后服务要求：</w:t>
            </w:r>
          </w:p>
        </w:tc>
        <w:tc>
          <w:tcPr>
            <w:tcW w:type="dxa" w:w="2076"/>
          </w:tcPr>
          <w:p>
            <w:pPr>
              <w:jc w:val="left"/>
            </w:pPr>
            <w:r>
              <w:rPr/>
              <w:t>供应商应设立项目负责人，并应设立热线服务电话，及时解决采购人所遇到的应急情况。（提供售后服务与应急方案并加盖公章）</w:t>
            </w:r>
          </w:p>
        </w:tc>
      </w:tr>
      <w:tr>
        <w:tc>
          <w:tcPr>
            <w:tcW w:type="dxa" w:w="2076"/>
          </w:tcPr>
          <w:p>
            <w:pPr>
              <w:jc w:val="center"/>
            </w:pPr>
          </w:p>
        </w:tc>
        <w:tc>
          <w:tcPr>
            <w:tcW w:type="dxa" w:w="2076"/>
          </w:tcPr>
          <w:p>
            <w:pPr>
              <w:jc w:val="center"/>
            </w:pPr>
            <w:r>
              <w:rPr/>
              <w:t>2</w:t>
            </w:r>
          </w:p>
        </w:tc>
        <w:tc>
          <w:tcPr>
            <w:tcW w:type="dxa" w:w="2076"/>
          </w:tcPr>
          <w:p>
            <w:pPr>
              <w:jc w:val="left"/>
            </w:pPr>
            <w:r>
              <w:rPr/>
              <w:t>承包服务质量要求</w:t>
            </w:r>
          </w:p>
        </w:tc>
        <w:tc>
          <w:tcPr>
            <w:tcW w:type="dxa" w:w="2076"/>
          </w:tcPr>
          <w:p>
            <w:pPr>
              <w:jc w:val="left"/>
            </w:pPr>
            <w:r>
              <w:rPr/>
              <w:t>从签定承包合同之日起的三个月内，承包区内的病媒生物防制管理服务项目要达到采购人规定的服务质量标准，并保持至承包期满结束： （1）活的病媒生物密度达标。 （2）承包方负责建立与病媒生物有关的巩卫资料系统。</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公共卫生事件防控服务</w:t>
            </w:r>
          </w:p>
        </w:tc>
        <w:tc>
          <w:tcPr>
            <w:tcW w:type="dxa" w:w="933"/>
          </w:tcPr>
          <w:p>
            <w:pPr>
              <w:jc w:val="left"/>
            </w:pPr>
            <w:r>
              <w:rPr/>
              <w:t>公共环境病媒生物防制</w:t>
            </w:r>
          </w:p>
        </w:tc>
        <w:tc>
          <w:tcPr>
            <w:tcW w:type="dxa" w:w="933"/>
          </w:tcPr>
          <w:p>
            <w:pPr>
              <w:jc w:val="left"/>
            </w:pPr>
            <w:r>
              <w:rPr/>
              <w:t>项</w:t>
            </w:r>
          </w:p>
        </w:tc>
        <w:tc>
          <w:tcPr>
            <w:tcW w:type="dxa" w:w="933"/>
          </w:tcPr>
          <w:p>
            <w:pPr>
              <w:jc w:val="right"/>
            </w:pPr>
            <w:r>
              <w:rPr/>
              <w:t>1.00</w:t>
            </w:r>
          </w:p>
        </w:tc>
        <w:tc>
          <w:tcPr>
            <w:tcW w:type="dxa" w:w="933"/>
          </w:tcPr>
          <w:p>
            <w:pPr>
              <w:jc w:val="right"/>
            </w:pPr>
            <w:r>
              <w:rPr/>
              <w:t>1,300,000.00</w:t>
            </w:r>
          </w:p>
        </w:tc>
        <w:tc>
          <w:tcPr>
            <w:tcW w:type="dxa" w:w="933"/>
          </w:tcPr>
          <w:p>
            <w:pPr>
              <w:jc w:val="right"/>
            </w:pPr>
            <w:r>
              <w:rPr/>
              <w:t>1,300,000.00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公共环境病媒生物防制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numPr>
                <w:ilvl w:val="0"/>
                <w:numId w:val="1"/>
              </w:numPr>
              <w:jc w:val="both"/>
            </w:pPr>
            <w:r>
              <w:rPr>
                <w:b/>
                <w:sz w:val="21"/>
              </w:rPr>
              <w:t>（一）药物清单：</w:t>
            </w:r>
          </w:p>
          <w:tbl>
            <w:tblPr>
              <w:tblInd w:type="dxa" w:w="90"/>
              <w:tblBorders>
                <w:top w:val="none" w:color="000000" w:sz="4"/>
                <w:left w:val="none" w:color="000000" w:sz="4"/>
                <w:bottom w:val="none" w:color="000000" w:sz="4"/>
                <w:right w:val="none" w:color="000000" w:sz="4"/>
                <w:insideH w:val="none"/>
                <w:insideV w:val="none"/>
              </w:tblBorders>
            </w:tblPr>
            <w:tblGrid>
              <w:gridCol w:w="2232"/>
              <w:gridCol w:w="759"/>
              <w:gridCol w:w="2606"/>
            </w:tblGrid>
            <w:tr>
              <w:tc>
                <w:tcPr>
                  <w:tcW w:type="dxa" w:w="5597"/>
                  <w:gridSpan w:val="3"/>
                  <w:tcBorders>
                    <w:top w:val="single" w:color="000000" w:sz="4"/>
                    <w:left w:val="single" w:color="000000" w:sz="4"/>
                    <w:bottom w:val="single" w:color="000000" w:sz="4"/>
                    <w:right w:val="single" w:color="000000" w:sz="4"/>
                  </w:tcBorders>
                  <w:vAlign w:val="top"/>
                </w:tcPr>
                <w:p>
                  <w:pPr>
                    <w:jc w:val="center"/>
                  </w:pPr>
                  <w:r>
                    <w:rPr>
                      <w:b/>
                      <w:sz w:val="24"/>
                    </w:rPr>
                    <w:t>项</w:t>
                  </w:r>
                  <w:r>
                    <w:rPr>
                      <w:b/>
                      <w:sz w:val="24"/>
                    </w:rPr>
                    <w:t>目</w:t>
                  </w:r>
                </w:p>
              </w:tc>
            </w:tr>
            <w:tr>
              <w:tc>
                <w:tcPr>
                  <w:tcW w:type="dxa" w:w="2232"/>
                  <w:tcBorders>
                    <w:top w:val="none" w:color="000000" w:sz="4"/>
                    <w:left w:val="single" w:color="000000" w:sz="4"/>
                    <w:bottom w:val="single" w:color="000000" w:sz="4"/>
                    <w:right w:val="single" w:color="000000" w:sz="4"/>
                  </w:tcBorders>
                  <w:shd w:fill="C0C0C0"/>
                  <w:vAlign w:val="top"/>
                </w:tcPr>
                <w:p>
                  <w:pPr>
                    <w:jc w:val="center"/>
                  </w:pPr>
                  <w:r>
                    <w:rPr>
                      <w:sz w:val="22"/>
                    </w:rPr>
                    <w:t>药物名称</w:t>
                  </w:r>
                </w:p>
              </w:tc>
              <w:tc>
                <w:tcPr>
                  <w:tcW w:type="dxa" w:w="759"/>
                  <w:tcBorders>
                    <w:top w:val="single" w:color="000000" w:sz="4"/>
                    <w:left w:val="single" w:color="000000" w:sz="4"/>
                    <w:bottom w:val="single" w:color="000000" w:sz="4"/>
                    <w:right w:val="single" w:color="000000" w:sz="4"/>
                  </w:tcBorders>
                  <w:shd w:fill="C0C0C0"/>
                  <w:vAlign w:val="top"/>
                </w:tcPr>
                <w:p>
                  <w:pPr>
                    <w:jc w:val="center"/>
                  </w:pPr>
                  <w:r>
                    <w:rPr>
                      <w:sz w:val="22"/>
                    </w:rPr>
                    <w:t>数量</w:t>
                  </w:r>
                </w:p>
              </w:tc>
              <w:tc>
                <w:tcPr>
                  <w:tcW w:type="dxa" w:w="2606"/>
                  <w:tcBorders>
                    <w:top w:val="single" w:color="000000" w:sz="4"/>
                    <w:left w:val="single" w:color="000000" w:sz="4"/>
                    <w:bottom w:val="single" w:color="000000" w:sz="4"/>
                    <w:right w:val="single" w:color="000000" w:sz="4"/>
                  </w:tcBorders>
                  <w:shd w:fill="C0C0C0"/>
                  <w:vAlign w:val="top"/>
                </w:tcPr>
                <w:p>
                  <w:pPr>
                    <w:jc w:val="center"/>
                  </w:pPr>
                  <w:r>
                    <w:rPr>
                      <w:sz w:val="22"/>
                    </w:rPr>
                    <w:t>单价</w:t>
                  </w:r>
                </w:p>
              </w:tc>
            </w:tr>
            <w:tr>
              <w:tc>
                <w:tcPr>
                  <w:tcW w:type="dxa" w:w="2232"/>
                  <w:tcBorders>
                    <w:top w:val="none" w:color="000000" w:sz="4"/>
                    <w:left w:val="single" w:color="000000" w:sz="4"/>
                    <w:bottom w:val="single" w:color="000000" w:sz="4"/>
                    <w:right w:val="single" w:color="000000" w:sz="4"/>
                  </w:tcBorders>
                  <w:shd w:fill="FFFFFF"/>
                  <w:vAlign w:val="top"/>
                </w:tcPr>
                <w:p>
                  <w:pPr>
                    <w:jc w:val="center"/>
                  </w:pPr>
                  <w:r>
                    <w:rPr>
                      <w:sz w:val="22"/>
                    </w:rPr>
                    <w:t>0.01%</w:t>
                  </w:r>
                  <w:r>
                    <w:rPr>
                      <w:sz w:val="22"/>
                    </w:rPr>
                    <w:t>溴敌隆毒谷</w:t>
                  </w:r>
                </w:p>
              </w:tc>
              <w:tc>
                <w:tcPr>
                  <w:tcW w:type="dxa" w:w="759"/>
                  <w:tcBorders>
                    <w:top w:val="none" w:color="000000" w:sz="4"/>
                    <w:left w:val="single" w:color="000000" w:sz="4"/>
                    <w:bottom w:val="single" w:color="000000" w:sz="4"/>
                    <w:right w:val="single" w:color="000000" w:sz="4"/>
                  </w:tcBorders>
                  <w:vAlign w:val="top"/>
                </w:tcPr>
                <w:p>
                  <w:pPr>
                    <w:jc w:val="center"/>
                  </w:pPr>
                  <w:r>
                    <w:rPr>
                      <w:sz w:val="22"/>
                    </w:rPr>
                    <w:t>12980</w:t>
                  </w:r>
                </w:p>
              </w:tc>
              <w:tc>
                <w:tcPr>
                  <w:tcW w:type="dxa" w:w="2606"/>
                  <w:tcBorders>
                    <w:top w:val="none" w:color="000000" w:sz="4"/>
                    <w:left w:val="single" w:color="000000" w:sz="4"/>
                    <w:bottom w:val="single" w:color="000000" w:sz="4"/>
                    <w:right w:val="single" w:color="000000" w:sz="4"/>
                  </w:tcBorders>
                  <w:vAlign w:val="top"/>
                </w:tcPr>
                <w:p>
                  <w:pPr>
                    <w:jc w:val="center"/>
                  </w:pPr>
                  <w:r>
                    <w:rPr>
                      <w:sz w:val="22"/>
                    </w:rPr>
                    <w:t>10元/KG</w:t>
                  </w:r>
                </w:p>
              </w:tc>
            </w:tr>
            <w:tr>
              <w:tc>
                <w:tcPr>
                  <w:tcW w:type="dxa" w:w="2232"/>
                  <w:tcBorders>
                    <w:top w:val="none" w:color="000000" w:sz="4"/>
                    <w:left w:val="single" w:color="000000" w:sz="4"/>
                    <w:bottom w:val="single" w:color="000000" w:sz="4"/>
                    <w:right w:val="single" w:color="000000" w:sz="4"/>
                  </w:tcBorders>
                  <w:vAlign w:val="top"/>
                </w:tcPr>
                <w:p>
                  <w:pPr>
                    <w:jc w:val="center"/>
                  </w:pPr>
                  <w:r>
                    <w:rPr>
                      <w:sz w:val="22"/>
                    </w:rPr>
                    <w:t>12%高氯.毒死蜱</w:t>
                  </w:r>
                </w:p>
              </w:tc>
              <w:tc>
                <w:tcPr>
                  <w:tcW w:type="dxa" w:w="759"/>
                  <w:tcBorders>
                    <w:top w:val="none" w:color="000000" w:sz="4"/>
                    <w:left w:val="single" w:color="000000" w:sz="4"/>
                    <w:bottom w:val="single" w:color="000000" w:sz="4"/>
                    <w:right w:val="single" w:color="000000" w:sz="4"/>
                  </w:tcBorders>
                  <w:vAlign w:val="top"/>
                </w:tcPr>
                <w:p>
                  <w:pPr>
                    <w:jc w:val="center"/>
                  </w:pPr>
                  <w:r>
                    <w:rPr>
                      <w:sz w:val="22"/>
                    </w:rPr>
                    <w:t>1000</w:t>
                  </w:r>
                </w:p>
              </w:tc>
              <w:tc>
                <w:tcPr>
                  <w:tcW w:type="dxa" w:w="2606"/>
                  <w:tcBorders>
                    <w:top w:val="none" w:color="000000" w:sz="4"/>
                    <w:left w:val="single" w:color="000000" w:sz="4"/>
                    <w:bottom w:val="single" w:color="000000" w:sz="4"/>
                    <w:right w:val="single" w:color="000000" w:sz="4"/>
                  </w:tcBorders>
                  <w:vAlign w:val="top"/>
                </w:tcPr>
                <w:p>
                  <w:pPr>
                    <w:jc w:val="center"/>
                  </w:pPr>
                  <w:r>
                    <w:rPr>
                      <w:sz w:val="22"/>
                    </w:rPr>
                    <w:t>65</w:t>
                  </w:r>
                  <w:r>
                    <w:rPr>
                      <w:sz w:val="22"/>
                    </w:rPr>
                    <w:t>.00元/L</w:t>
                  </w:r>
                </w:p>
              </w:tc>
            </w:tr>
            <w:tr>
              <w:tc>
                <w:tcPr>
                  <w:tcW w:type="dxa" w:w="2232"/>
                  <w:tcBorders>
                    <w:top w:val="none" w:color="000000" w:sz="4"/>
                    <w:left w:val="single" w:color="000000" w:sz="4"/>
                    <w:bottom w:val="single" w:color="000000" w:sz="4"/>
                    <w:right w:val="single" w:color="000000" w:sz="4"/>
                  </w:tcBorders>
                  <w:shd w:fill="FFFFFF"/>
                  <w:vAlign w:val="top"/>
                </w:tcPr>
                <w:p>
                  <w:pPr>
                    <w:jc w:val="center"/>
                  </w:pPr>
                  <w:r>
                    <w:rPr>
                      <w:sz w:val="22"/>
                    </w:rPr>
                    <w:t>5%高效氯氰菊酯悬浮剂</w:t>
                  </w:r>
                </w:p>
              </w:tc>
              <w:tc>
                <w:tcPr>
                  <w:tcW w:type="dxa" w:w="759"/>
                  <w:tcBorders>
                    <w:top w:val="none" w:color="000000" w:sz="4"/>
                    <w:left w:val="single" w:color="000000" w:sz="4"/>
                    <w:bottom w:val="single" w:color="000000" w:sz="4"/>
                    <w:right w:val="single" w:color="000000" w:sz="4"/>
                  </w:tcBorders>
                  <w:vAlign w:val="top"/>
                </w:tcPr>
                <w:p>
                  <w:pPr>
                    <w:jc w:val="center"/>
                  </w:pPr>
                  <w:r>
                    <w:rPr>
                      <w:sz w:val="22"/>
                    </w:rPr>
                    <w:t>1800</w:t>
                  </w:r>
                </w:p>
              </w:tc>
              <w:tc>
                <w:tcPr>
                  <w:tcW w:type="dxa" w:w="2606"/>
                  <w:tcBorders>
                    <w:top w:val="none" w:color="000000" w:sz="4"/>
                    <w:left w:val="single" w:color="000000" w:sz="4"/>
                    <w:bottom w:val="single" w:color="000000" w:sz="4"/>
                    <w:right w:val="single" w:color="000000" w:sz="4"/>
                  </w:tcBorders>
                  <w:vAlign w:val="top"/>
                </w:tcPr>
                <w:p>
                  <w:pPr>
                    <w:jc w:val="center"/>
                  </w:pPr>
                  <w:r>
                    <w:rPr>
                      <w:sz w:val="22"/>
                    </w:rPr>
                    <w:t>80.00元/L</w:t>
                  </w:r>
                </w:p>
              </w:tc>
            </w:tr>
            <w:tr>
              <w:tc>
                <w:tcPr>
                  <w:tcW w:type="dxa" w:w="2232"/>
                  <w:tcBorders>
                    <w:top w:val="none" w:color="000000" w:sz="4"/>
                    <w:left w:val="single" w:color="000000" w:sz="4"/>
                    <w:bottom w:val="single" w:color="000000" w:sz="4"/>
                    <w:right w:val="single" w:color="000000" w:sz="4"/>
                  </w:tcBorders>
                  <w:shd w:fill="FFFFFF"/>
                  <w:vAlign w:val="top"/>
                </w:tcPr>
                <w:p>
                  <w:pPr>
                    <w:jc w:val="center"/>
                  </w:pPr>
                  <w:r>
                    <w:rPr>
                      <w:sz w:val="22"/>
                    </w:rPr>
                    <w:t>0.5%吡丙醚杀虫颗粒</w:t>
                  </w:r>
                </w:p>
              </w:tc>
              <w:tc>
                <w:tcPr>
                  <w:tcW w:type="dxa" w:w="759"/>
                  <w:tcBorders>
                    <w:top w:val="none" w:color="000000" w:sz="4"/>
                    <w:left w:val="single" w:color="000000" w:sz="4"/>
                    <w:bottom w:val="single" w:color="000000" w:sz="4"/>
                    <w:right w:val="single" w:color="000000" w:sz="4"/>
                  </w:tcBorders>
                  <w:vAlign w:val="top"/>
                </w:tcPr>
                <w:p>
                  <w:pPr>
                    <w:jc w:val="center"/>
                  </w:pPr>
                  <w:r>
                    <w:rPr>
                      <w:sz w:val="22"/>
                    </w:rPr>
                    <w:t>3600</w:t>
                  </w:r>
                </w:p>
              </w:tc>
              <w:tc>
                <w:tcPr>
                  <w:tcW w:type="dxa" w:w="2606"/>
                  <w:tcBorders>
                    <w:top w:val="none" w:color="000000" w:sz="4"/>
                    <w:left w:val="single" w:color="000000" w:sz="4"/>
                    <w:bottom w:val="single" w:color="000000" w:sz="4"/>
                    <w:right w:val="single" w:color="000000" w:sz="4"/>
                  </w:tcBorders>
                  <w:vAlign w:val="top"/>
                </w:tcPr>
                <w:p>
                  <w:pPr>
                    <w:jc w:val="center"/>
                  </w:pPr>
                  <w:r>
                    <w:rPr>
                      <w:sz w:val="22"/>
                    </w:rPr>
                    <w:t>5</w:t>
                  </w:r>
                  <w:r>
                    <w:rPr>
                      <w:sz w:val="22"/>
                    </w:rPr>
                    <w:t>0.00元/KG</w:t>
                  </w:r>
                </w:p>
              </w:tc>
            </w:tr>
            <w:tr>
              <w:tc>
                <w:tcPr>
                  <w:tcW w:type="dxa" w:w="2232"/>
                  <w:tcBorders>
                    <w:top w:val="none" w:color="000000" w:sz="4"/>
                    <w:left w:val="single" w:color="000000" w:sz="4"/>
                    <w:bottom w:val="single" w:color="000000" w:sz="4"/>
                    <w:right w:val="single" w:color="000000" w:sz="4"/>
                  </w:tcBorders>
                  <w:shd w:fill="FFFFFF"/>
                  <w:vAlign w:val="top"/>
                </w:tcPr>
                <w:p>
                  <w:pPr>
                    <w:jc w:val="center"/>
                  </w:pPr>
                  <w:r>
                    <w:rPr>
                      <w:sz w:val="22"/>
                    </w:rPr>
                    <w:t>2%氯氰·胺菊酯杀虫热雾剂</w:t>
                  </w:r>
                </w:p>
              </w:tc>
              <w:tc>
                <w:tcPr>
                  <w:tcW w:type="dxa" w:w="759"/>
                  <w:tcBorders>
                    <w:top w:val="none" w:color="000000" w:sz="4"/>
                    <w:left w:val="single" w:color="000000" w:sz="4"/>
                    <w:bottom w:val="single" w:color="000000" w:sz="4"/>
                    <w:right w:val="single" w:color="000000" w:sz="4"/>
                  </w:tcBorders>
                  <w:vAlign w:val="top"/>
                </w:tcPr>
                <w:p>
                  <w:pPr>
                    <w:jc w:val="center"/>
                  </w:pPr>
                  <w:r>
                    <w:rPr>
                      <w:sz w:val="22"/>
                    </w:rPr>
                    <w:t>5520</w:t>
                  </w:r>
                </w:p>
              </w:tc>
              <w:tc>
                <w:tcPr>
                  <w:tcW w:type="dxa" w:w="2606"/>
                  <w:tcBorders>
                    <w:top w:val="none" w:color="000000" w:sz="4"/>
                    <w:left w:val="single" w:color="000000" w:sz="4"/>
                    <w:bottom w:val="single" w:color="000000" w:sz="4"/>
                    <w:right w:val="single" w:color="000000" w:sz="4"/>
                  </w:tcBorders>
                  <w:vAlign w:val="top"/>
                </w:tcPr>
                <w:p>
                  <w:pPr>
                    <w:jc w:val="center"/>
                  </w:pPr>
                  <w:r>
                    <w:rPr>
                      <w:sz w:val="22"/>
                    </w:rPr>
                    <w:t>35.00元/L</w:t>
                  </w:r>
                </w:p>
              </w:tc>
            </w:tr>
            <w:tr>
              <w:tc>
                <w:tcPr>
                  <w:tcW w:type="dxa" w:w="2232"/>
                  <w:tcBorders>
                    <w:top w:val="none" w:color="000000" w:sz="4"/>
                    <w:left w:val="single" w:color="000000" w:sz="4"/>
                    <w:bottom w:val="single" w:color="000000" w:sz="4"/>
                    <w:right w:val="single" w:color="000000" w:sz="4"/>
                  </w:tcBorders>
                  <w:shd w:fill="C0C0C0"/>
                  <w:vAlign w:val="top"/>
                </w:tcPr>
                <w:p>
                  <w:pPr>
                    <w:jc w:val="center"/>
                  </w:pPr>
                  <w:r>
                    <w:rPr>
                      <w:sz w:val="22"/>
                    </w:rPr>
                    <w:t>服务项目</w:t>
                  </w:r>
                </w:p>
              </w:tc>
              <w:tc>
                <w:tcPr>
                  <w:tcW w:type="dxa" w:w="759"/>
                  <w:tcBorders>
                    <w:top w:val="none" w:color="000000" w:sz="4"/>
                    <w:left w:val="single" w:color="000000" w:sz="4"/>
                    <w:bottom w:val="single" w:color="000000" w:sz="4"/>
                    <w:right w:val="single" w:color="000000" w:sz="4"/>
                  </w:tcBorders>
                  <w:shd w:fill="C0C0C0"/>
                  <w:vAlign w:val="top"/>
                </w:tcPr>
                <w:p>
                  <w:pPr>
                    <w:jc w:val="center"/>
                  </w:pPr>
                  <w:r>
                    <w:rPr>
                      <w:sz w:val="22"/>
                    </w:rPr>
                    <w:t>人工数量</w:t>
                  </w:r>
                </w:p>
              </w:tc>
              <w:tc>
                <w:tcPr>
                  <w:tcW w:type="dxa" w:w="2606"/>
                  <w:tcBorders>
                    <w:top w:val="none" w:color="000000" w:sz="4"/>
                    <w:left w:val="single" w:color="000000" w:sz="4"/>
                    <w:bottom w:val="single" w:color="000000" w:sz="4"/>
                    <w:right w:val="single" w:color="000000" w:sz="4"/>
                  </w:tcBorders>
                  <w:shd w:fill="C0C0C0"/>
                  <w:vAlign w:val="top"/>
                </w:tcPr>
                <w:p>
                  <w:pPr>
                    <w:jc w:val="center"/>
                  </w:pPr>
                  <w:r>
                    <w:rPr>
                      <w:sz w:val="22"/>
                    </w:rPr>
                    <w:t>行业平均工资（含保险、福利）</w:t>
                  </w:r>
                </w:p>
              </w:tc>
            </w:tr>
            <w:tr>
              <w:tc>
                <w:tcPr>
                  <w:tcW w:type="dxa" w:w="2232"/>
                  <w:tcBorders>
                    <w:top w:val="none" w:color="000000" w:sz="4"/>
                    <w:left w:val="single" w:color="000000" w:sz="4"/>
                    <w:bottom w:val="single" w:color="000000" w:sz="4"/>
                    <w:right w:val="single" w:color="000000" w:sz="4"/>
                  </w:tcBorders>
                  <w:shd w:fill="FFFFFF"/>
                  <w:vAlign w:val="top"/>
                </w:tcPr>
                <w:p>
                  <w:pPr>
                    <w:jc w:val="center"/>
                  </w:pPr>
                  <w:r>
                    <w:rPr>
                      <w:sz w:val="22"/>
                    </w:rPr>
                    <w:t>灭鼠</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800</w:t>
                  </w:r>
                </w:p>
              </w:tc>
              <w:tc>
                <w:tcPr>
                  <w:tcW w:type="dxa" w:w="2606"/>
                  <w:tcBorders>
                    <w:top w:val="none" w:color="000000" w:sz="4"/>
                    <w:left w:val="single" w:color="000000" w:sz="4"/>
                    <w:bottom w:val="single" w:color="000000" w:sz="4"/>
                    <w:right w:val="single" w:color="000000" w:sz="4"/>
                  </w:tcBorders>
                  <w:vAlign w:val="top"/>
                </w:tcPr>
                <w:p>
                  <w:pPr>
                    <w:jc w:val="center"/>
                  </w:pPr>
                  <w:r>
                    <w:rPr>
                      <w:sz w:val="24"/>
                    </w:rPr>
                    <w:t>200.00</w:t>
                  </w:r>
                </w:p>
              </w:tc>
            </w:tr>
            <w:tr>
              <w:tc>
                <w:tcPr>
                  <w:tcW w:type="dxa" w:w="2232"/>
                  <w:tcBorders>
                    <w:top w:val="none" w:color="000000" w:sz="4"/>
                    <w:left w:val="single" w:color="000000" w:sz="4"/>
                    <w:bottom w:val="single" w:color="000000" w:sz="4"/>
                    <w:right w:val="single" w:color="000000" w:sz="4"/>
                  </w:tcBorders>
                  <w:shd w:fill="FFFFFF"/>
                  <w:vAlign w:val="top"/>
                </w:tcPr>
                <w:p>
                  <w:pPr>
                    <w:jc w:val="center"/>
                  </w:pPr>
                  <w:r>
                    <w:rPr>
                      <w:sz w:val="22"/>
                    </w:rPr>
                    <w:t>灭蚊</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720</w:t>
                  </w:r>
                </w:p>
              </w:tc>
              <w:tc>
                <w:tcPr>
                  <w:tcW w:type="dxa" w:w="2606"/>
                  <w:tcBorders>
                    <w:top w:val="none" w:color="000000" w:sz="4"/>
                    <w:left w:val="single" w:color="000000" w:sz="4"/>
                    <w:bottom w:val="single" w:color="000000" w:sz="4"/>
                    <w:right w:val="single" w:color="000000" w:sz="4"/>
                  </w:tcBorders>
                  <w:vAlign w:val="top"/>
                </w:tcPr>
                <w:p>
                  <w:pPr>
                    <w:jc w:val="center"/>
                  </w:pPr>
                  <w:r>
                    <w:rPr>
                      <w:sz w:val="24"/>
                    </w:rPr>
                    <w:t>200.00</w:t>
                  </w:r>
                </w:p>
              </w:tc>
            </w:tr>
            <w:tr>
              <w:tc>
                <w:tcPr>
                  <w:tcW w:type="dxa" w:w="2232"/>
                  <w:tcBorders>
                    <w:top w:val="none" w:color="000000" w:sz="4"/>
                    <w:left w:val="single" w:color="000000" w:sz="4"/>
                    <w:bottom w:val="single" w:color="000000" w:sz="4"/>
                    <w:right w:val="single" w:color="000000" w:sz="4"/>
                  </w:tcBorders>
                  <w:shd w:fill="FFFFFF"/>
                  <w:vAlign w:val="top"/>
                </w:tcPr>
                <w:p>
                  <w:pPr>
                    <w:jc w:val="center"/>
                  </w:pPr>
                  <w:r>
                    <w:rPr>
                      <w:sz w:val="22"/>
                    </w:rPr>
                    <w:t>灭蝇</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480</w:t>
                  </w:r>
                </w:p>
              </w:tc>
              <w:tc>
                <w:tcPr>
                  <w:tcW w:type="dxa" w:w="2606"/>
                  <w:tcBorders>
                    <w:top w:val="none" w:color="000000" w:sz="4"/>
                    <w:left w:val="single" w:color="000000" w:sz="4"/>
                    <w:bottom w:val="single" w:color="000000" w:sz="4"/>
                    <w:right w:val="single" w:color="000000" w:sz="4"/>
                  </w:tcBorders>
                  <w:vAlign w:val="top"/>
                </w:tcPr>
                <w:p>
                  <w:pPr>
                    <w:jc w:val="center"/>
                  </w:pPr>
                  <w:r>
                    <w:rPr>
                      <w:sz w:val="24"/>
                    </w:rPr>
                    <w:t>200.00</w:t>
                  </w:r>
                </w:p>
              </w:tc>
            </w:tr>
            <w:tr>
              <w:tc>
                <w:tcPr>
                  <w:tcW w:type="dxa" w:w="2232"/>
                  <w:tcBorders>
                    <w:top w:val="none" w:color="000000" w:sz="4"/>
                    <w:left w:val="single" w:color="000000" w:sz="4"/>
                    <w:bottom w:val="single" w:color="000000" w:sz="4"/>
                    <w:right w:val="single" w:color="000000" w:sz="4"/>
                  </w:tcBorders>
                  <w:shd w:fill="FFFFFF"/>
                  <w:vAlign w:val="top"/>
                </w:tcPr>
                <w:p>
                  <w:pPr>
                    <w:jc w:val="center"/>
                  </w:pPr>
                  <w:r>
                    <w:rPr>
                      <w:sz w:val="22"/>
                    </w:rPr>
                    <w:t>灭蟑螂</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700</w:t>
                  </w:r>
                </w:p>
              </w:tc>
              <w:tc>
                <w:tcPr>
                  <w:tcW w:type="dxa" w:w="2606"/>
                  <w:tcBorders>
                    <w:top w:val="none" w:color="000000" w:sz="4"/>
                    <w:left w:val="single" w:color="000000" w:sz="4"/>
                    <w:bottom w:val="single" w:color="000000" w:sz="4"/>
                    <w:right w:val="single" w:color="000000" w:sz="4"/>
                  </w:tcBorders>
                  <w:vAlign w:val="top"/>
                </w:tcPr>
                <w:p>
                  <w:pPr>
                    <w:jc w:val="center"/>
                  </w:pPr>
                  <w:r>
                    <w:rPr>
                      <w:sz w:val="24"/>
                    </w:rPr>
                    <w:t>200.00</w:t>
                  </w:r>
                </w:p>
              </w:tc>
            </w:tr>
          </w:tbl>
        </w:tc>
      </w:tr>
      <w:tr>
        <w:tc>
          <w:tcPr>
            <w:tcW w:type="dxa" w:w="2076"/>
          </w:tcPr>
          <w:p>
            <w:r>
              <w:rPr/>
              <w:t>★</w:t>
            </w:r>
          </w:p>
        </w:tc>
        <w:tc>
          <w:tcPr>
            <w:tcW w:type="dxa" w:w="415"/>
          </w:tcPr>
          <w:p>
            <w:r>
              <w:rPr/>
              <w:t>2</w:t>
            </w:r>
          </w:p>
        </w:tc>
        <w:tc>
          <w:tcPr>
            <w:tcW w:type="dxa" w:w="5814"/>
          </w:tcPr>
          <w:p>
            <w:r>
              <w:rPr>
                <w:b/>
                <w:sz w:val="21"/>
              </w:rPr>
              <w:t>★</w:t>
            </w:r>
            <w:r>
              <w:rPr>
                <w:sz w:val="21"/>
              </w:rPr>
              <w:t>用药要求：科学用药，不得使用国家违禁药物，使用卫生杀虫药物要符合农药</w:t>
            </w:r>
            <w:r>
              <w:rPr>
                <w:sz w:val="21"/>
              </w:rPr>
              <w:t>“三证”要求</w:t>
            </w:r>
            <w:r>
              <w:rPr>
                <w:sz w:val="21"/>
              </w:rPr>
              <w:t>，要求中标人每季度监测一次病媒生物密度</w:t>
            </w:r>
            <w:r>
              <w:rPr>
                <w:sz w:val="21"/>
              </w:rPr>
              <w:t>。</w:t>
            </w:r>
          </w:p>
        </w:tc>
      </w:tr>
      <w:tr>
        <w:tc>
          <w:tcPr>
            <w:tcW w:type="dxa" w:w="2076"/>
          </w:tcPr>
          <w:p/>
        </w:tc>
        <w:tc>
          <w:tcPr>
            <w:tcW w:type="dxa" w:w="415"/>
          </w:tcPr>
          <w:p>
            <w:r>
              <w:rPr/>
              <w:t>3</w:t>
            </w:r>
          </w:p>
        </w:tc>
        <w:tc>
          <w:tcPr>
            <w:tcW w:type="dxa" w:w="5814"/>
          </w:tcPr>
          <w:p>
            <w:pPr>
              <w:ind w:firstLine="413"/>
            </w:pPr>
            <w:r>
              <w:rPr>
                <w:b/>
                <w:sz w:val="21"/>
              </w:rPr>
              <w:t>承包服务质量要求。</w:t>
            </w:r>
            <w:r>
              <w:rPr>
                <w:sz w:val="21"/>
              </w:rPr>
              <w:t>从签定承包合同之日起的三个月内，承包区内的病媒生物防制管理服务项目要达到发包人规定的服务质量标准，并保持至承包期满结束：</w:t>
            </w:r>
          </w:p>
          <w:p>
            <w:pPr>
              <w:ind w:firstLine="420"/>
            </w:pPr>
            <w:r>
              <w:rPr>
                <w:sz w:val="21"/>
              </w:rPr>
              <w:t>（</w:t>
            </w:r>
            <w:r>
              <w:rPr>
                <w:sz w:val="21"/>
              </w:rPr>
              <w:t>1）活的病媒生物密度达标。</w:t>
            </w:r>
          </w:p>
          <w:p>
            <w:pPr>
              <w:ind w:firstLine="420"/>
            </w:pPr>
            <w:r>
              <w:rPr>
                <w:sz w:val="21"/>
              </w:rPr>
              <w:t>（</w:t>
            </w:r>
            <w:r>
              <w:rPr>
                <w:sz w:val="21"/>
              </w:rPr>
              <w:t>2）承包方负责建立与病媒生物有关的巩卫资料系统。</w:t>
            </w:r>
          </w:p>
        </w:tc>
      </w:tr>
      <w:tr>
        <w:tc>
          <w:tcPr>
            <w:tcW w:type="dxa" w:w="2076"/>
          </w:tcPr>
          <w:p>
            <w:r>
              <w:rPr/>
              <w:t>★</w:t>
            </w:r>
          </w:p>
        </w:tc>
        <w:tc>
          <w:tcPr>
            <w:tcW w:type="dxa" w:w="415"/>
          </w:tcPr>
          <w:p>
            <w:r>
              <w:rPr/>
              <w:t>4</w:t>
            </w:r>
          </w:p>
        </w:tc>
        <w:tc>
          <w:tcPr>
            <w:tcW w:type="dxa" w:w="5814"/>
          </w:tcPr>
          <w:p>
            <w:pPr>
              <w:ind w:firstLine="413"/>
            </w:pPr>
            <w:r>
              <w:rPr>
                <w:b/>
                <w:sz w:val="21"/>
              </w:rPr>
              <w:t>服务频次：</w:t>
            </w:r>
            <w:r>
              <w:rPr>
                <w:sz w:val="21"/>
              </w:rPr>
              <w:t>服务</w:t>
            </w:r>
            <w:r>
              <w:rPr>
                <w:sz w:val="21"/>
              </w:rPr>
              <w:t>期间，</w:t>
            </w:r>
            <w:r>
              <w:rPr>
                <w:sz w:val="21"/>
              </w:rPr>
              <w:t>每季度</w:t>
            </w:r>
            <w:r>
              <w:rPr>
                <w:sz w:val="21"/>
              </w:rPr>
              <w:t>开展一轮</w:t>
            </w:r>
            <w:r>
              <w:rPr>
                <w:sz w:val="21"/>
              </w:rPr>
              <w:t>对</w:t>
            </w:r>
            <w:r>
              <w:rPr>
                <w:sz w:val="21"/>
              </w:rPr>
              <w:t>县城巩卫建成区</w:t>
            </w:r>
            <w:r>
              <w:rPr>
                <w:sz w:val="21"/>
              </w:rPr>
              <w:t>范围内公共区域进行病媒生物防制，逐步扩大宣传和提高居民与单位的</w:t>
            </w:r>
            <w:r>
              <w:rPr>
                <w:sz w:val="21"/>
              </w:rPr>
              <w:t>巩卫</w:t>
            </w:r>
            <w:r>
              <w:rPr>
                <w:sz w:val="21"/>
              </w:rPr>
              <w:t>意识</w:t>
            </w:r>
            <w:r>
              <w:rPr>
                <w:sz w:val="21"/>
              </w:rPr>
              <w:t>以及</w:t>
            </w:r>
            <w:r>
              <w:rPr>
                <w:sz w:val="21"/>
              </w:rPr>
              <w:t>病媒生物防制意识</w:t>
            </w:r>
            <w:r>
              <w:rPr>
                <w:sz w:val="21"/>
              </w:rPr>
              <w:t>，</w:t>
            </w:r>
            <w:r>
              <w:rPr>
                <w:sz w:val="21"/>
              </w:rPr>
              <w:t>合同期内共</w:t>
            </w:r>
            <w:r>
              <w:rPr>
                <w:sz w:val="21"/>
              </w:rPr>
              <w:t>开展</w:t>
            </w:r>
            <w:r>
              <w:rPr>
                <w:sz w:val="21"/>
              </w:rPr>
              <w:t>服务</w:t>
            </w:r>
            <w:r>
              <w:rPr>
                <w:sz w:val="21"/>
              </w:rPr>
              <w:t>12轮</w:t>
            </w:r>
            <w:r>
              <w:rPr>
                <w:sz w:val="21"/>
              </w:rPr>
              <w:t>。如服务超出</w:t>
            </w:r>
            <w:r>
              <w:rPr>
                <w:sz w:val="21"/>
              </w:rPr>
              <w:t>12轮</w:t>
            </w:r>
            <w:r>
              <w:rPr>
                <w:sz w:val="21"/>
              </w:rPr>
              <w:t>的，按中标价格计算得出每一次的服务费作为超出服务次数的每次服务金额。</w:t>
            </w:r>
          </w:p>
        </w:tc>
      </w:tr>
      <w:tr>
        <w:tc>
          <w:tcPr>
            <w:tcW w:type="dxa" w:w="2076"/>
          </w:tcPr>
          <w:p/>
        </w:tc>
        <w:tc>
          <w:tcPr>
            <w:tcW w:type="dxa" w:w="415"/>
          </w:tcPr>
          <w:p>
            <w:r>
              <w:rPr/>
              <w:t>5</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274"/>
              <w:gridCol w:w="318"/>
              <w:gridCol w:w="519"/>
              <w:gridCol w:w="2618"/>
              <w:gridCol w:w="709"/>
              <w:gridCol w:w="1159"/>
            </w:tblGrid>
            <w:tr>
              <w:tc>
                <w:tcPr>
                  <w:tcW w:type="dxa" w:w="5597"/>
                  <w:gridSpan w:val="6"/>
                  <w:tcBorders>
                    <w:top w:val="single" w:color="000000" w:sz="4"/>
                    <w:left w:val="single" w:color="000000" w:sz="4"/>
                    <w:bottom w:val="single" w:color="000000" w:sz="4"/>
                    <w:right w:val="single" w:color="000000" w:sz="4"/>
                  </w:tcBorders>
                  <w:vAlign w:val="top"/>
                </w:tcPr>
                <w:p>
                  <w:pPr>
                    <w:jc w:val="center"/>
                  </w:pPr>
                  <w:r>
                    <w:rPr>
                      <w:b/>
                      <w:sz w:val="21"/>
                    </w:rPr>
                    <w:t>新兴县巩固卫生县公共环境病媒生物防制承包服务</w:t>
                  </w:r>
                </w:p>
                <w:p>
                  <w:pPr>
                    <w:jc w:val="center"/>
                  </w:pPr>
                  <w:r>
                    <w:rPr>
                      <w:b/>
                      <w:sz w:val="21"/>
                    </w:rPr>
                    <w:t>操作规范和要求</w:t>
                  </w:r>
                </w:p>
              </w:tc>
            </w:tr>
            <w:tr>
              <w:tc>
                <w:tcPr>
                  <w:tcW w:type="dxa" w:w="1111"/>
                  <w:gridSpan w:val="3"/>
                  <w:tcBorders>
                    <w:top w:val="none" w:color="000000" w:sz="4"/>
                    <w:left w:val="single" w:color="000000" w:sz="4"/>
                    <w:bottom w:val="single" w:color="000000" w:sz="4"/>
                    <w:right w:val="single" w:color="000000" w:sz="4"/>
                  </w:tcBorders>
                  <w:vAlign w:val="top"/>
                </w:tcPr>
                <w:p>
                  <w:pPr>
                    <w:jc w:val="left"/>
                  </w:pPr>
                  <w:r>
                    <w:rPr>
                      <w:sz w:val="21"/>
                    </w:rPr>
                    <w:t>制表：</w:t>
                  </w:r>
                </w:p>
              </w:tc>
              <w:tc>
                <w:tcPr>
                  <w:tcW w:type="dxa" w:w="2618"/>
                  <w:tcBorders>
                    <w:top w:val="single" w:color="000000" w:sz="4"/>
                    <w:left w:val="single" w:color="000000" w:sz="4"/>
                    <w:bottom w:val="single" w:color="000000" w:sz="4"/>
                    <w:right w:val="single" w:color="000000" w:sz="4"/>
                  </w:tcBorders>
                  <w:vAlign w:val="top"/>
                </w:tcPr>
                <w:p>
                  <w:pPr>
                    <w:jc w:val="center"/>
                  </w:pPr>
                </w:p>
              </w:tc>
              <w:tc>
                <w:tcPr>
                  <w:tcW w:type="dxa" w:w="1868"/>
                  <w:gridSpan w:val="2"/>
                  <w:tcBorders>
                    <w:top w:val="single" w:color="000000" w:sz="4"/>
                    <w:left w:val="single" w:color="000000" w:sz="4"/>
                    <w:bottom w:val="single" w:color="000000" w:sz="4"/>
                    <w:right w:val="single" w:color="000000" w:sz="4"/>
                  </w:tcBorders>
                  <w:vAlign w:val="top"/>
                </w:tcPr>
                <w:p>
                  <w:pPr>
                    <w:jc w:val="center"/>
                  </w:pPr>
                </w:p>
              </w:tc>
            </w:tr>
            <w:tr>
              <w:tc>
                <w:tcPr>
                  <w:tcW w:type="dxa" w:w="274"/>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318"/>
                  <w:tcBorders>
                    <w:top w:val="none" w:color="000000" w:sz="4"/>
                    <w:left w:val="single" w:color="000000" w:sz="4"/>
                    <w:bottom w:val="single" w:color="000000" w:sz="4"/>
                    <w:right w:val="single" w:color="000000" w:sz="4"/>
                  </w:tcBorders>
                  <w:vAlign w:val="top"/>
                </w:tcPr>
                <w:p>
                  <w:pPr>
                    <w:jc w:val="center"/>
                  </w:pPr>
                  <w:r>
                    <w:rPr>
                      <w:b/>
                      <w:sz w:val="21"/>
                    </w:rPr>
                    <w:t>项目</w:t>
                  </w:r>
                </w:p>
              </w:tc>
              <w:tc>
                <w:tcPr>
                  <w:tcW w:type="dxa" w:w="519"/>
                  <w:tcBorders>
                    <w:top w:val="none" w:color="000000" w:sz="4"/>
                    <w:left w:val="single" w:color="000000" w:sz="4"/>
                    <w:bottom w:val="single" w:color="000000" w:sz="4"/>
                    <w:right w:val="single" w:color="000000" w:sz="4"/>
                  </w:tcBorders>
                  <w:vAlign w:val="top"/>
                </w:tcPr>
                <w:p>
                  <w:pPr>
                    <w:jc w:val="center"/>
                  </w:pPr>
                  <w:r>
                    <w:rPr>
                      <w:b/>
                      <w:sz w:val="21"/>
                    </w:rPr>
                    <w:t>工作内容</w:t>
                  </w:r>
                </w:p>
              </w:tc>
              <w:tc>
                <w:tcPr>
                  <w:tcW w:type="dxa" w:w="2618"/>
                  <w:tcBorders>
                    <w:top w:val="single" w:color="000000" w:sz="4"/>
                    <w:left w:val="single" w:color="000000" w:sz="4"/>
                    <w:bottom w:val="single" w:color="000000" w:sz="4"/>
                    <w:right w:val="single" w:color="000000" w:sz="4"/>
                  </w:tcBorders>
                  <w:vAlign w:val="top"/>
                </w:tcPr>
                <w:p>
                  <w:pPr>
                    <w:jc w:val="center"/>
                  </w:pPr>
                  <w:r>
                    <w:rPr>
                      <w:b/>
                      <w:sz w:val="21"/>
                    </w:rPr>
                    <w:t>操作规范和要求</w:t>
                  </w:r>
                </w:p>
              </w:tc>
              <w:tc>
                <w:tcPr>
                  <w:tcW w:type="dxa" w:w="709"/>
                  <w:tcBorders>
                    <w:top w:val="single" w:color="000000" w:sz="4"/>
                    <w:left w:val="single" w:color="000000" w:sz="4"/>
                    <w:bottom w:val="single" w:color="000000" w:sz="4"/>
                    <w:right w:val="single" w:color="000000" w:sz="4"/>
                  </w:tcBorders>
                  <w:vAlign w:val="top"/>
                </w:tcPr>
                <w:p>
                  <w:pPr>
                    <w:jc w:val="center"/>
                  </w:pPr>
                  <w:r>
                    <w:rPr>
                      <w:b/>
                      <w:sz w:val="21"/>
                    </w:rPr>
                    <w:t>开展时间</w:t>
                  </w:r>
                </w:p>
              </w:tc>
              <w:tc>
                <w:tcPr>
                  <w:tcW w:type="dxa" w:w="1159"/>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274"/>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18"/>
                  <w:vMerge w:val="restart"/>
                  <w:tcBorders>
                    <w:top w:val="none" w:color="000000" w:sz="4"/>
                    <w:left w:val="single" w:color="000000" w:sz="4"/>
                    <w:bottom w:val="single" w:color="000000" w:sz="4"/>
                    <w:right w:val="single" w:color="000000" w:sz="4"/>
                  </w:tcBorders>
                  <w:vAlign w:val="top"/>
                </w:tcPr>
                <w:p>
                  <w:pPr>
                    <w:jc w:val="center"/>
                  </w:pPr>
                  <w:r>
                    <w:rPr>
                      <w:sz w:val="21"/>
                    </w:rPr>
                    <w:t>灭鼠</w:t>
                  </w:r>
                </w:p>
              </w:tc>
              <w:tc>
                <w:tcPr>
                  <w:tcW w:type="dxa" w:w="519"/>
                  <w:tcBorders>
                    <w:top w:val="none" w:color="000000" w:sz="4"/>
                    <w:left w:val="single" w:color="000000" w:sz="4"/>
                    <w:bottom w:val="single" w:color="000000" w:sz="4"/>
                    <w:right w:val="single" w:color="000000" w:sz="4"/>
                  </w:tcBorders>
                  <w:vAlign w:val="top"/>
                </w:tcPr>
                <w:p>
                  <w:pPr>
                    <w:jc w:val="left"/>
                  </w:pPr>
                  <w:r>
                    <w:rPr>
                      <w:sz w:val="21"/>
                    </w:rPr>
                    <w:t>1.公共外环境统一全面投药灭鼠</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每季度灭鼠一轮，每轮</w:t>
                  </w:r>
                  <w:r>
                    <w:rPr>
                      <w:sz w:val="21"/>
                    </w:rPr>
                    <w:t>3次（包括投药、补药、清鼠迹、检查等工作），物药必须使用合法灭鼠药物，新鲜、适口性强，投放点多、量饱和，勤跟踪，及时补药。</w:t>
                  </w:r>
                </w:p>
              </w:tc>
              <w:tc>
                <w:tcPr>
                  <w:tcW w:type="dxa" w:w="709"/>
                  <w:vMerge w:val="restart"/>
                  <w:tcBorders>
                    <w:top w:val="none" w:color="000000" w:sz="4"/>
                    <w:left w:val="single" w:color="000000" w:sz="4"/>
                    <w:bottom w:val="single" w:color="000000" w:sz="4"/>
                    <w:right w:val="single" w:color="000000" w:sz="4"/>
                  </w:tcBorders>
                  <w:vAlign w:val="top"/>
                </w:tcPr>
                <w:p>
                  <w:pPr>
                    <w:jc w:val="center"/>
                  </w:pPr>
                  <w:r>
                    <w:rPr>
                      <w:sz w:val="21"/>
                    </w:rPr>
                    <w:t>每季度一轮</w:t>
                  </w:r>
                </w:p>
                <w:p>
                  <w:pPr>
                    <w:jc w:val="center"/>
                  </w:pPr>
                  <w:r>
                    <w:rPr>
                      <w:sz w:val="21"/>
                    </w:rPr>
                    <w:t>（</w:t>
                  </w:r>
                  <w:r>
                    <w:rPr>
                      <w:sz w:val="21"/>
                    </w:rPr>
                    <w:t>3次/轮）</w:t>
                  </w:r>
                </w:p>
              </w:tc>
              <w:tc>
                <w:tcPr>
                  <w:tcW w:type="dxa" w:w="1159"/>
                  <w:vMerge w:val="restart"/>
                  <w:tcBorders>
                    <w:top w:val="none" w:color="000000" w:sz="4"/>
                    <w:left w:val="single" w:color="000000" w:sz="4"/>
                    <w:bottom w:val="single" w:color="000000" w:sz="4"/>
                    <w:right w:val="single" w:color="000000" w:sz="4"/>
                  </w:tcBorders>
                  <w:vAlign w:val="top"/>
                </w:tcPr>
                <w:p>
                  <w:pPr>
                    <w:jc w:val="left"/>
                  </w:pPr>
                  <w:r>
                    <w:rPr>
                      <w:sz w:val="21"/>
                    </w:rPr>
                    <w:t>12—15天完成一个灭鼠周期，包括投药、补投、清理鼠迹。</w:t>
                  </w: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2 灭鼠使用药物和设施要求</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投药第二天起，每天检查、补药，吃多少补多少，确保达到</w:t>
                  </w:r>
                  <w:r>
                    <w:rPr>
                      <w:sz w:val="21"/>
                    </w:rPr>
                    <w:t>“一到位，三饱和”的技术要求。灭鼠谷屋布放点应根据“空间饱和”的原则在达标区范围内布放。</w:t>
                  </w: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3.开展鼠情监测</w:t>
                  </w:r>
                </w:p>
              </w:tc>
              <w:tc>
                <w:tcPr>
                  <w:tcW w:type="dxa" w:w="2618"/>
                  <w:tcBorders>
                    <w:top w:val="none" w:color="000000" w:sz="4"/>
                    <w:left w:val="single" w:color="000000" w:sz="4"/>
                    <w:bottom w:val="single" w:color="000000" w:sz="4"/>
                    <w:right w:val="single" w:color="000000" w:sz="4"/>
                  </w:tcBorders>
                  <w:vAlign w:val="top"/>
                </w:tcPr>
                <w:p>
                  <w:pPr>
                    <w:jc w:val="left"/>
                  </w:pPr>
                  <w:r>
                    <w:rPr>
                      <w:sz w:val="19"/>
                    </w:rPr>
                    <w:t xml:space="preserve"> </w:t>
                  </w:r>
                  <w:r>
                    <w:rPr>
                      <w:sz w:val="21"/>
                    </w:rPr>
                    <w:t>每季度对重点单位如食品加工场、市场、餐饮旅业、学校饭堂、居民住宅区等配合县疾控中心每季度进行粉迹法</w:t>
                  </w:r>
                  <w:r>
                    <w:rPr>
                      <w:sz w:val="21"/>
                    </w:rPr>
                    <w:t>或夹（笼）夜</w:t>
                  </w:r>
                  <w:r>
                    <w:rPr>
                      <w:sz w:val="21"/>
                    </w:rPr>
                    <w:t>法密度检测。做好监测记录和统计。</w:t>
                  </w:r>
                </w:p>
              </w:tc>
              <w:tc>
                <w:tcPr>
                  <w:tcW w:type="dxa" w:w="709"/>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1次</w:t>
                  </w:r>
                </w:p>
              </w:tc>
              <w:tc>
                <w:tcPr>
                  <w:tcW w:type="dxa" w:w="1159"/>
                  <w:tcBorders>
                    <w:top w:val="none" w:color="000000" w:sz="4"/>
                    <w:left w:val="single" w:color="000000" w:sz="4"/>
                    <w:bottom w:val="single" w:color="000000" w:sz="4"/>
                    <w:right w:val="single" w:color="000000" w:sz="4"/>
                  </w:tcBorders>
                  <w:vAlign w:val="top"/>
                </w:tcPr>
                <w:p>
                  <w:pPr>
                    <w:jc w:val="center"/>
                  </w:pPr>
                  <w:r>
                    <w:rPr>
                      <w:sz w:val="21"/>
                    </w:rPr>
                    <w:t>由发包人统一时间</w:t>
                  </w: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4 完善防鼠设施</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指导、协助采购人有关部门、行业完善防鼠设施。服务期间要对</w:t>
                  </w:r>
                  <w:r>
                    <w:rPr>
                      <w:sz w:val="21"/>
                    </w:rPr>
                    <w:t>现有</w:t>
                  </w:r>
                  <w:r>
                    <w:rPr>
                      <w:sz w:val="21"/>
                    </w:rPr>
                    <w:t>毒鼠屋</w:t>
                  </w:r>
                  <w:r>
                    <w:rPr>
                      <w:sz w:val="21"/>
                    </w:rPr>
                    <w:t>进行</w:t>
                  </w:r>
                  <w:r>
                    <w:rPr>
                      <w:sz w:val="21"/>
                    </w:rPr>
                    <w:t>维护</w:t>
                  </w:r>
                  <w:r>
                    <w:rPr>
                      <w:sz w:val="21"/>
                    </w:rPr>
                    <w:t>，</w:t>
                  </w:r>
                  <w:r>
                    <w:rPr>
                      <w:sz w:val="21"/>
                    </w:rPr>
                    <w:t>保持现有的毒鼠屋数量。</w:t>
                  </w:r>
                  <w:r>
                    <w:rPr>
                      <w:sz w:val="21"/>
                    </w:rPr>
                    <w:t>合同</w:t>
                  </w:r>
                  <w:r>
                    <w:rPr>
                      <w:sz w:val="21"/>
                    </w:rPr>
                    <w:t>期间如</w:t>
                  </w:r>
                  <w:r>
                    <w:rPr>
                      <w:sz w:val="21"/>
                    </w:rPr>
                    <w:t>需新增</w:t>
                  </w:r>
                  <w:r>
                    <w:rPr>
                      <w:sz w:val="21"/>
                    </w:rPr>
                    <w:t>毒鼠屋</w:t>
                  </w:r>
                  <w:r>
                    <w:rPr>
                      <w:sz w:val="21"/>
                    </w:rPr>
                    <w:t>，</w:t>
                  </w:r>
                  <w:r>
                    <w:rPr>
                      <w:sz w:val="21"/>
                    </w:rPr>
                    <w:t>双方协商</w:t>
                  </w:r>
                  <w:r>
                    <w:rPr>
                      <w:sz w:val="21"/>
                    </w:rPr>
                    <w:t>后另外</w:t>
                  </w:r>
                  <w:r>
                    <w:rPr>
                      <w:sz w:val="21"/>
                    </w:rPr>
                    <w:t>收取</w:t>
                  </w:r>
                  <w:r>
                    <w:rPr>
                      <w:sz w:val="21"/>
                    </w:rPr>
                    <w:t>相应费用</w:t>
                  </w:r>
                  <w:r>
                    <w:rPr>
                      <w:sz w:val="21"/>
                    </w:rPr>
                    <w:t>。</w:t>
                  </w:r>
                </w:p>
              </w:tc>
              <w:tc>
                <w:tcPr>
                  <w:tcW w:type="dxa" w:w="709"/>
                  <w:tcBorders>
                    <w:top w:val="none" w:color="000000" w:sz="4"/>
                    <w:left w:val="single" w:color="000000" w:sz="4"/>
                    <w:bottom w:val="single" w:color="000000" w:sz="4"/>
                    <w:right w:val="single" w:color="000000" w:sz="4"/>
                  </w:tcBorders>
                  <w:vAlign w:val="top"/>
                </w:tcPr>
                <w:p>
                  <w:pPr>
                    <w:jc w:val="center"/>
                  </w:pPr>
                </w:p>
              </w:tc>
              <w:tc>
                <w:tcPr>
                  <w:tcW w:type="dxa" w:w="1159"/>
                  <w:tcBorders>
                    <w:top w:val="none" w:color="000000" w:sz="4"/>
                    <w:left w:val="single" w:color="000000" w:sz="4"/>
                    <w:bottom w:val="single" w:color="000000" w:sz="4"/>
                    <w:right w:val="single" w:color="000000" w:sz="4"/>
                  </w:tcBorders>
                  <w:vAlign w:val="top"/>
                </w:tcPr>
                <w:p>
                  <w:pPr>
                    <w:jc w:val="center"/>
                  </w:pPr>
                </w:p>
              </w:tc>
            </w:tr>
            <w:tr>
              <w:tc>
                <w:tcPr>
                  <w:tcW w:type="dxa" w:w="274"/>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18"/>
                  <w:vMerge w:val="restart"/>
                  <w:tcBorders>
                    <w:top w:val="none" w:color="000000" w:sz="4"/>
                    <w:left w:val="single" w:color="000000" w:sz="4"/>
                    <w:bottom w:val="single" w:color="000000" w:sz="4"/>
                    <w:right w:val="single" w:color="000000" w:sz="4"/>
                  </w:tcBorders>
                  <w:vAlign w:val="top"/>
                </w:tcPr>
                <w:p>
                  <w:pPr>
                    <w:jc w:val="center"/>
                  </w:pPr>
                  <w:r>
                    <w:rPr>
                      <w:sz w:val="21"/>
                    </w:rPr>
                    <w:t>灭蚊</w:t>
                  </w:r>
                </w:p>
              </w:tc>
              <w:tc>
                <w:tcPr>
                  <w:tcW w:type="dxa" w:w="519"/>
                  <w:tcBorders>
                    <w:top w:val="none" w:color="000000" w:sz="4"/>
                    <w:left w:val="single" w:color="000000" w:sz="4"/>
                    <w:bottom w:val="single" w:color="000000" w:sz="4"/>
                    <w:right w:val="single" w:color="000000" w:sz="4"/>
                  </w:tcBorders>
                  <w:vAlign w:val="top"/>
                </w:tcPr>
                <w:p>
                  <w:pPr>
                    <w:jc w:val="left"/>
                  </w:pPr>
                  <w:r>
                    <w:rPr>
                      <w:sz w:val="21"/>
                    </w:rPr>
                    <w:t>1.热烟雾灭成蚊</w:t>
                  </w:r>
                </w:p>
              </w:tc>
              <w:tc>
                <w:tcPr>
                  <w:tcW w:type="dxa" w:w="2618"/>
                  <w:tcBorders>
                    <w:top w:val="none" w:color="000000" w:sz="4"/>
                    <w:left w:val="single" w:color="000000" w:sz="4"/>
                    <w:bottom w:val="single" w:color="000000" w:sz="4"/>
                    <w:right w:val="single" w:color="000000" w:sz="4"/>
                  </w:tcBorders>
                  <w:vAlign w:val="top"/>
                </w:tcPr>
                <w:p>
                  <w:pPr>
                    <w:jc w:val="left"/>
                  </w:pPr>
                  <w:r>
                    <w:rPr>
                      <w:sz w:val="19"/>
                    </w:rPr>
                    <w:t xml:space="preserve">  </w:t>
                  </w:r>
                  <w:r>
                    <w:rPr>
                      <w:sz w:val="21"/>
                    </w:rPr>
                    <w:t>用热烟雾机、烟雾剂对下水道、化粪池、公共环境绿化丛林、公共车库、阴沟角落等进行地毯式烟薰杀灭成蚊（同时灭蝇、蟑螂）。要求：行动前须告知辖区居委会，至少分</w:t>
                  </w:r>
                  <w:r>
                    <w:rPr>
                      <w:sz w:val="21"/>
                    </w:rPr>
                    <w:t>2个小组同时进行，每小组负责1台烟雾机，6名有害生物防制员（其中4人负责虫控防制操作，另1人负责防制服务登记、</w:t>
                  </w:r>
                  <w:r>
                    <w:rPr>
                      <w:sz w:val="21"/>
                    </w:rPr>
                    <w:t>1人负责</w:t>
                  </w:r>
                  <w:r>
                    <w:rPr>
                      <w:sz w:val="21"/>
                    </w:rPr>
                    <w:t>见证人签名和后勤工作）。在一周内完成，除天气原因外，不得间断。</w:t>
                  </w:r>
                </w:p>
              </w:tc>
              <w:tc>
                <w:tcPr>
                  <w:tcW w:type="dxa" w:w="709"/>
                  <w:vMerge w:val="restart"/>
                  <w:tcBorders>
                    <w:top w:val="none" w:color="000000" w:sz="4"/>
                    <w:left w:val="single" w:color="000000" w:sz="4"/>
                    <w:bottom w:val="single" w:color="000000" w:sz="4"/>
                    <w:right w:val="single" w:color="000000" w:sz="4"/>
                  </w:tcBorders>
                  <w:vAlign w:val="top"/>
                </w:tcPr>
                <w:p>
                  <w:pPr>
                    <w:jc w:val="center"/>
                  </w:pPr>
                  <w:r>
                    <w:rPr>
                      <w:sz w:val="21"/>
                    </w:rPr>
                    <w:t>每季度一轮</w:t>
                  </w:r>
                </w:p>
                <w:p>
                  <w:pPr>
                    <w:jc w:val="center"/>
                  </w:pPr>
                  <w:r>
                    <w:rPr>
                      <w:sz w:val="21"/>
                    </w:rPr>
                    <w:t>（</w:t>
                  </w:r>
                  <w:r>
                    <w:rPr>
                      <w:sz w:val="21"/>
                    </w:rPr>
                    <w:t>3次/轮）</w:t>
                  </w:r>
                </w:p>
              </w:tc>
              <w:tc>
                <w:tcPr>
                  <w:tcW w:type="dxa" w:w="1159"/>
                  <w:vMerge w:val="restart"/>
                  <w:tcBorders>
                    <w:top w:val="none" w:color="000000" w:sz="4"/>
                    <w:left w:val="single" w:color="000000" w:sz="4"/>
                    <w:bottom w:val="single" w:color="000000" w:sz="4"/>
                    <w:right w:val="single" w:color="000000" w:sz="4"/>
                  </w:tcBorders>
                  <w:vAlign w:val="top"/>
                </w:tcPr>
                <w:p>
                  <w:pPr>
                    <w:jc w:val="center"/>
                  </w:pP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2.药物滞留喷洒灭成蚊</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用背负式机动、电动喷雾机或大中型园林喷雾机对公园、广场、无物业住宅小区、废品收购站、绿化带进行药物滞留喷洒灭成蚊。要求：每次至少出动</w:t>
                  </w:r>
                  <w:r>
                    <w:rPr>
                      <w:sz w:val="21"/>
                    </w:rPr>
                    <w:t>3台喷雾机同时进行，另安排1—2人负责后勤保障工作。</w:t>
                  </w: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3.药泡木塞控制蚊幼虫</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用卫生杀虫剂充分浸泡过的软木塞或灭蚊幼颗粒剂，投放于下水道进水口等蚊虫孳生地，防止蚊幼虫孳生。要求：木塞完全吊放入积水中，每</w:t>
                  </w:r>
                  <w:r>
                    <w:rPr>
                      <w:sz w:val="21"/>
                    </w:rPr>
                    <w:t>2个月统一更换1次，每次均用不同颜色的系绳区分，对失效的旧木塞进行回收。</w:t>
                  </w: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4.大中型水体防控</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对承包范围内的大中型水体（如死水塘、污水涌等）进行定期跟踪检查，如发现蚊幼虫孳生，立即投药处理。</w:t>
                  </w: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5.各类小积水处理</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对承包范围的公共外环境各类积水进行检查处理，对不能清理的蚊虫孳生地，要采取投药或放养鱼类等方法进行科学防制。</w:t>
                  </w:r>
                </w:p>
              </w:tc>
            </w:tr>
            <w:tr>
              <w:tc>
                <w:tcPr>
                  <w:tcW w:type="dxa" w:w="274"/>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18"/>
                  <w:vMerge w:val="restart"/>
                  <w:tcBorders>
                    <w:top w:val="none" w:color="000000" w:sz="4"/>
                    <w:left w:val="single" w:color="000000" w:sz="4"/>
                    <w:bottom w:val="single" w:color="000000" w:sz="4"/>
                    <w:right w:val="single" w:color="000000" w:sz="4"/>
                  </w:tcBorders>
                  <w:vAlign w:val="top"/>
                </w:tcPr>
                <w:p>
                  <w:pPr>
                    <w:jc w:val="center"/>
                  </w:pPr>
                  <w:r>
                    <w:rPr>
                      <w:sz w:val="21"/>
                    </w:rPr>
                    <w:t>灭蝇</w:t>
                  </w:r>
                </w:p>
              </w:tc>
              <w:tc>
                <w:tcPr>
                  <w:tcW w:type="dxa" w:w="519"/>
                  <w:tcBorders>
                    <w:top w:val="none" w:color="000000" w:sz="4"/>
                    <w:left w:val="single" w:color="000000" w:sz="4"/>
                    <w:bottom w:val="single" w:color="000000" w:sz="4"/>
                    <w:right w:val="single" w:color="000000" w:sz="4"/>
                  </w:tcBorders>
                  <w:vAlign w:val="top"/>
                </w:tcPr>
                <w:p>
                  <w:pPr>
                    <w:jc w:val="left"/>
                  </w:pPr>
                  <w:r>
                    <w:rPr>
                      <w:sz w:val="21"/>
                    </w:rPr>
                    <w:t>1 蝇类孳生地处理</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配合有关部门对公厕、垃圾屋、垃圾池、垃圾桶、垃圾车以及卫生死角、垃圾堆等蝇孳生地进行清理。同时，采用化学、物理等方法灭杀蝇幼虫，有效控制蝇幼阳性点密度在达标范围内。</w:t>
                  </w:r>
                </w:p>
              </w:tc>
              <w:tc>
                <w:tcPr>
                  <w:tcW w:type="dxa" w:w="709"/>
                  <w:vMerge w:val="restart"/>
                  <w:tcBorders>
                    <w:top w:val="none" w:color="000000" w:sz="4"/>
                    <w:left w:val="single" w:color="000000" w:sz="4"/>
                    <w:bottom w:val="single" w:color="000000" w:sz="4"/>
                    <w:right w:val="single" w:color="000000" w:sz="4"/>
                  </w:tcBorders>
                  <w:vAlign w:val="top"/>
                </w:tcPr>
                <w:p>
                  <w:pPr>
                    <w:jc w:val="center"/>
                  </w:pPr>
                  <w:r>
                    <w:rPr>
                      <w:sz w:val="21"/>
                    </w:rPr>
                    <w:t>每季度一轮</w:t>
                  </w:r>
                </w:p>
                <w:p>
                  <w:pPr>
                    <w:jc w:val="center"/>
                  </w:pPr>
                  <w:r>
                    <w:rPr>
                      <w:sz w:val="21"/>
                    </w:rPr>
                    <w:t>（</w:t>
                  </w:r>
                  <w:r>
                    <w:rPr>
                      <w:sz w:val="21"/>
                    </w:rPr>
                    <w:t>3次/轮）</w:t>
                  </w:r>
                </w:p>
              </w:tc>
              <w:tc>
                <w:tcPr>
                  <w:tcW w:type="dxa" w:w="1159"/>
                  <w:vMerge w:val="restart"/>
                  <w:tcBorders>
                    <w:top w:val="none" w:color="000000" w:sz="4"/>
                    <w:left w:val="single" w:color="000000" w:sz="4"/>
                    <w:bottom w:val="single" w:color="000000" w:sz="4"/>
                    <w:right w:val="single" w:color="000000" w:sz="4"/>
                  </w:tcBorders>
                  <w:vAlign w:val="top"/>
                </w:tcPr>
                <w:p>
                  <w:pPr>
                    <w:jc w:val="center"/>
                  </w:pP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2 对成蝇的控制</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成蝇控制必须对不同场所合理采用物理、生物、化学等防制方法进行科学灭杀，不能使用单一的方法控制成蝇。有效控制成蝇密度在达标范围内。</w:t>
                  </w: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3 灭蝇药物要求</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灭蝇所使用的药物必须是合法、有效、低毒的。</w:t>
                  </w: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4 完善防蝇设施</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协助、指导采购人有关部门、行业完善防蝇设施。</w:t>
                  </w:r>
                </w:p>
              </w:tc>
            </w:tr>
            <w:tr>
              <w:tc>
                <w:tcPr>
                  <w:tcW w:type="dxa" w:w="274"/>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18"/>
                  <w:vMerge w:val="restart"/>
                  <w:tcBorders>
                    <w:top w:val="none" w:color="000000" w:sz="4"/>
                    <w:left w:val="single" w:color="000000" w:sz="4"/>
                    <w:bottom w:val="single" w:color="000000" w:sz="4"/>
                    <w:right w:val="single" w:color="000000" w:sz="4"/>
                  </w:tcBorders>
                  <w:vAlign w:val="top"/>
                </w:tcPr>
                <w:p>
                  <w:pPr>
                    <w:jc w:val="center"/>
                  </w:pPr>
                  <w:r>
                    <w:rPr>
                      <w:sz w:val="21"/>
                    </w:rPr>
                    <w:t>灭蟑</w:t>
                  </w:r>
                </w:p>
              </w:tc>
              <w:tc>
                <w:tcPr>
                  <w:tcW w:type="dxa" w:w="519"/>
                  <w:tcBorders>
                    <w:top w:val="none" w:color="000000" w:sz="4"/>
                    <w:left w:val="single" w:color="000000" w:sz="4"/>
                    <w:bottom w:val="single" w:color="000000" w:sz="4"/>
                    <w:right w:val="single" w:color="000000" w:sz="4"/>
                  </w:tcBorders>
                  <w:vAlign w:val="top"/>
                </w:tcPr>
                <w:p>
                  <w:pPr>
                    <w:jc w:val="left"/>
                  </w:pPr>
                  <w:r>
                    <w:rPr>
                      <w:sz w:val="21"/>
                    </w:rPr>
                    <w:t>1 蟑螂的防制</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对下水道、公厕、垃圾屋、垃圾桶、垃圾车以及卫生死角、垃圾堆等蟑螂孳生、栖息地进行彻底清理。同时，采用化学、物理等方法灭杀蟑螂，有效控制蟑螂密度在达标范围内。</w:t>
                  </w:r>
                </w:p>
              </w:tc>
              <w:tc>
                <w:tcPr>
                  <w:tcW w:type="dxa" w:w="709"/>
                  <w:vMerge w:val="restart"/>
                  <w:tcBorders>
                    <w:top w:val="none" w:color="000000" w:sz="4"/>
                    <w:left w:val="single" w:color="000000" w:sz="4"/>
                    <w:bottom w:val="single" w:color="000000" w:sz="4"/>
                    <w:right w:val="single" w:color="000000" w:sz="4"/>
                  </w:tcBorders>
                  <w:vAlign w:val="top"/>
                </w:tcPr>
                <w:p>
                  <w:pPr>
                    <w:jc w:val="center"/>
                  </w:pPr>
                  <w:r>
                    <w:rPr>
                      <w:sz w:val="21"/>
                    </w:rPr>
                    <w:t>每季度一轮</w:t>
                  </w:r>
                </w:p>
                <w:p>
                  <w:pPr>
                    <w:jc w:val="center"/>
                  </w:pPr>
                  <w:r>
                    <w:rPr>
                      <w:sz w:val="21"/>
                    </w:rPr>
                    <w:t>（</w:t>
                  </w:r>
                  <w:r>
                    <w:rPr>
                      <w:sz w:val="21"/>
                    </w:rPr>
                    <w:t>3次/轮）</w:t>
                  </w:r>
                </w:p>
              </w:tc>
              <w:tc>
                <w:tcPr>
                  <w:tcW w:type="dxa" w:w="1159"/>
                  <w:vMerge w:val="restart"/>
                  <w:tcBorders>
                    <w:top w:val="none" w:color="000000" w:sz="4"/>
                    <w:left w:val="single" w:color="000000" w:sz="4"/>
                    <w:bottom w:val="single" w:color="000000" w:sz="4"/>
                    <w:right w:val="single" w:color="000000" w:sz="4"/>
                  </w:tcBorders>
                  <w:vAlign w:val="top"/>
                </w:tcPr>
                <w:p>
                  <w:pPr>
                    <w:jc w:val="center"/>
                  </w:pPr>
                </w:p>
              </w:tc>
            </w:tr>
            <w:tr>
              <w:tc>
                <w:tcPr>
                  <w:tcW w:type="dxa" w:w="274"/>
                  <w:vMerge/>
                  <w:tcBorders>
                    <w:top w:val="none" w:color="000000" w:sz="4"/>
                    <w:left w:val="single" w:color="000000" w:sz="4"/>
                    <w:bottom w:val="single" w:color="000000" w:sz="4"/>
                    <w:right w:val="single" w:color="000000" w:sz="4"/>
                  </w:tcBorders>
                </w:tcPr>
                <w:p/>
              </w:tc>
              <w:tc>
                <w:tcPr>
                  <w:tcW w:type="dxa" w:w="318"/>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vAlign w:val="top"/>
                </w:tcPr>
                <w:p>
                  <w:pPr>
                    <w:jc w:val="left"/>
                  </w:pPr>
                  <w:r>
                    <w:rPr>
                      <w:sz w:val="21"/>
                    </w:rPr>
                    <w:t>2 灭蟑螂药物要求</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灭蟑螂所使用的药物必须是合法、有效、低毒。</w:t>
                  </w:r>
                </w:p>
              </w:tc>
            </w:tr>
            <w:tr>
              <w:tc>
                <w:tcPr>
                  <w:tcW w:type="dxa" w:w="27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工作登记</w:t>
                  </w:r>
                </w:p>
              </w:tc>
              <w:tc>
                <w:tcPr>
                  <w:tcW w:type="dxa" w:w="519"/>
                  <w:tcBorders>
                    <w:top w:val="none" w:color="000000" w:sz="4"/>
                    <w:left w:val="single" w:color="000000" w:sz="4"/>
                    <w:bottom w:val="single" w:color="000000" w:sz="4"/>
                    <w:right w:val="single" w:color="000000" w:sz="4"/>
                  </w:tcBorders>
                  <w:vAlign w:val="top"/>
                </w:tcPr>
                <w:p>
                  <w:pPr>
                    <w:jc w:val="left"/>
                  </w:pPr>
                  <w:r>
                    <w:rPr>
                      <w:sz w:val="21"/>
                    </w:rPr>
                    <w:t>对病媒生物防控工作情况进行登记</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设置专用的病媒生物防控情况登记薄，对每次开展的工作情况（含日期、地点、有害生物防制内容、有害生物防制人员姓名、使用药物等）进行详细记录。对每月的烟雾灭蚊，还要有接受服务的</w:t>
                  </w:r>
                  <w:r>
                    <w:rPr>
                      <w:sz w:val="21"/>
                    </w:rPr>
                    <w:t>社区</w:t>
                  </w:r>
                  <w:r>
                    <w:rPr>
                      <w:sz w:val="21"/>
                    </w:rPr>
                    <w:t>、居委会见证人签名确认。</w:t>
                  </w:r>
                </w:p>
              </w:tc>
              <w:tc>
                <w:tcPr>
                  <w:tcW w:type="dxa" w:w="709"/>
                  <w:tcBorders>
                    <w:top w:val="none" w:color="000000" w:sz="4"/>
                    <w:left w:val="single" w:color="000000" w:sz="4"/>
                    <w:bottom w:val="single" w:color="000000" w:sz="4"/>
                    <w:right w:val="single" w:color="000000" w:sz="4"/>
                  </w:tcBorders>
                  <w:vAlign w:val="top"/>
                </w:tcPr>
                <w:p>
                  <w:pPr>
                    <w:jc w:val="center"/>
                  </w:pPr>
                  <w:r>
                    <w:rPr>
                      <w:sz w:val="21"/>
                    </w:rPr>
                    <w:t>每</w:t>
                  </w:r>
                  <w:r>
                    <w:rPr>
                      <w:sz w:val="21"/>
                    </w:rPr>
                    <w:t>轮</w:t>
                  </w:r>
                  <w:r>
                    <w:rPr>
                      <w:sz w:val="21"/>
                    </w:rPr>
                    <w:t>服务后提供</w:t>
                  </w:r>
                </w:p>
              </w:tc>
              <w:tc>
                <w:tcPr>
                  <w:tcW w:type="dxa" w:w="1159"/>
                  <w:tcBorders>
                    <w:top w:val="none" w:color="000000" w:sz="4"/>
                    <w:left w:val="single" w:color="000000" w:sz="4"/>
                    <w:bottom w:val="single" w:color="000000" w:sz="4"/>
                    <w:right w:val="single" w:color="000000" w:sz="4"/>
                  </w:tcBorders>
                  <w:vAlign w:val="top"/>
                </w:tcPr>
                <w:p>
                  <w:pPr>
                    <w:jc w:val="center"/>
                  </w:pPr>
                </w:p>
              </w:tc>
            </w:tr>
            <w:tr>
              <w:tc>
                <w:tcPr>
                  <w:tcW w:type="dxa" w:w="27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密度监测</w:t>
                  </w:r>
                </w:p>
              </w:tc>
              <w:tc>
                <w:tcPr>
                  <w:tcW w:type="dxa" w:w="519"/>
                  <w:tcBorders>
                    <w:top w:val="none" w:color="000000" w:sz="4"/>
                    <w:left w:val="single" w:color="000000" w:sz="4"/>
                    <w:bottom w:val="single" w:color="000000" w:sz="4"/>
                    <w:right w:val="single" w:color="000000" w:sz="4"/>
                  </w:tcBorders>
                  <w:vAlign w:val="top"/>
                </w:tcPr>
                <w:p>
                  <w:pPr>
                    <w:jc w:val="left"/>
                  </w:pPr>
                  <w:r>
                    <w:rPr>
                      <w:sz w:val="21"/>
                    </w:rPr>
                    <w:t>定期开展本辖病媒生物密度监测</w:t>
                  </w:r>
                </w:p>
              </w:tc>
              <w:tc>
                <w:tcPr>
                  <w:tcW w:type="dxa" w:w="2618"/>
                  <w:tcBorders>
                    <w:top w:val="none" w:color="000000" w:sz="4"/>
                    <w:left w:val="single" w:color="000000" w:sz="4"/>
                    <w:bottom w:val="single" w:color="000000" w:sz="4"/>
                    <w:right w:val="single" w:color="000000" w:sz="4"/>
                  </w:tcBorders>
                  <w:vAlign w:val="top"/>
                </w:tcPr>
                <w:p>
                  <w:pPr>
                    <w:jc w:val="left"/>
                  </w:pPr>
                  <w:r>
                    <w:rPr>
                      <w:sz w:val="19"/>
                    </w:rPr>
                    <w:t xml:space="preserve">  </w:t>
                  </w:r>
                  <w:r>
                    <w:rPr>
                      <w:sz w:val="21"/>
                    </w:rPr>
                    <w:t>由县</w:t>
                  </w:r>
                  <w:r>
                    <w:rPr>
                      <w:sz w:val="21"/>
                    </w:rPr>
                    <w:t>卫健局</w:t>
                  </w:r>
                  <w:r>
                    <w:rPr>
                      <w:sz w:val="21"/>
                    </w:rPr>
                    <w:t>聘请</w:t>
                  </w:r>
                  <w:r>
                    <w:rPr>
                      <w:sz w:val="21"/>
                    </w:rPr>
                    <w:t>有资质的</w:t>
                  </w:r>
                  <w:r>
                    <w:rPr>
                      <w:sz w:val="21"/>
                    </w:rPr>
                    <w:t>有害生物防制协会承包新兴县城区的鼠、蚊、蝇、蟑螂密度监测。其中鼠密度采用粉迹法监测，其余项目用目测法监测，要求每季度下旬定期监测一次，准确、如实记录、统计监测情况，每</w:t>
                  </w:r>
                  <w:r>
                    <w:rPr>
                      <w:sz w:val="21"/>
                    </w:rPr>
                    <w:t>季第一个</w:t>
                  </w:r>
                  <w:r>
                    <w:rPr>
                      <w:sz w:val="21"/>
                    </w:rPr>
                    <w:t>月的</w:t>
                  </w:r>
                  <w:r>
                    <w:rPr>
                      <w:sz w:val="21"/>
                    </w:rPr>
                    <w:t>15号前将上一季度的监测统计表及用药情况统计表书面报发包人。监测资料档案专柜保管。</w:t>
                  </w:r>
                </w:p>
              </w:tc>
              <w:tc>
                <w:tcPr>
                  <w:tcW w:type="dxa" w:w="709"/>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1次</w:t>
                  </w:r>
                </w:p>
              </w:tc>
              <w:tc>
                <w:tcPr>
                  <w:tcW w:type="dxa" w:w="1159"/>
                  <w:tcBorders>
                    <w:top w:val="none" w:color="000000" w:sz="4"/>
                    <w:left w:val="single" w:color="000000" w:sz="4"/>
                    <w:bottom w:val="single" w:color="000000" w:sz="4"/>
                    <w:right w:val="single" w:color="000000" w:sz="4"/>
                  </w:tcBorders>
                  <w:vAlign w:val="top"/>
                </w:tcPr>
                <w:p>
                  <w:pPr>
                    <w:jc w:val="center"/>
                  </w:pPr>
                  <w:r>
                    <w:rPr>
                      <w:sz w:val="21"/>
                    </w:rPr>
                    <w:t>委托</w:t>
                  </w:r>
                  <w:r>
                    <w:rPr>
                      <w:sz w:val="21"/>
                    </w:rPr>
                    <w:t>有资质的</w:t>
                  </w:r>
                  <w:r>
                    <w:rPr>
                      <w:sz w:val="21"/>
                    </w:rPr>
                    <w:t>有害生物防制协会开展病媒生物密度监测</w:t>
                  </w:r>
                </w:p>
              </w:tc>
            </w:tr>
            <w:tr>
              <w:tc>
                <w:tcPr>
                  <w:tcW w:type="dxa" w:w="27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投诉处理</w:t>
                  </w:r>
                </w:p>
              </w:tc>
              <w:tc>
                <w:tcPr>
                  <w:tcW w:type="dxa" w:w="519"/>
                  <w:tcBorders>
                    <w:top w:val="none" w:color="000000" w:sz="4"/>
                    <w:left w:val="single" w:color="000000" w:sz="4"/>
                    <w:bottom w:val="single" w:color="000000" w:sz="4"/>
                    <w:right w:val="single" w:color="000000" w:sz="4"/>
                  </w:tcBorders>
                  <w:vAlign w:val="top"/>
                </w:tcPr>
                <w:p>
                  <w:pPr>
                    <w:jc w:val="left"/>
                  </w:pPr>
                  <w:r>
                    <w:rPr>
                      <w:sz w:val="21"/>
                    </w:rPr>
                    <w:t>及时处理群众有关反映和投诉</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认真听取居委会、群众的意见和建议，不断改进工作，提高承包质量。对涉及承包人的有关病媒生物防制方面的反映、投诉，要求接到后迅速进行核实和处理，于</w:t>
                  </w:r>
                  <w:r>
                    <w:rPr>
                      <w:sz w:val="21"/>
                    </w:rPr>
                    <w:t>3个工作日内向发包人回复处理情况。</w:t>
                  </w:r>
                </w:p>
              </w:tc>
              <w:tc>
                <w:tcPr>
                  <w:tcW w:type="dxa" w:w="709"/>
                  <w:tcBorders>
                    <w:top w:val="none" w:color="000000" w:sz="4"/>
                    <w:left w:val="single" w:color="000000" w:sz="4"/>
                    <w:bottom w:val="single" w:color="000000" w:sz="4"/>
                    <w:right w:val="single" w:color="000000" w:sz="4"/>
                  </w:tcBorders>
                  <w:vAlign w:val="top"/>
                </w:tcPr>
                <w:p>
                  <w:pPr>
                    <w:jc w:val="center"/>
                  </w:pPr>
                </w:p>
              </w:tc>
              <w:tc>
                <w:tcPr>
                  <w:tcW w:type="dxa" w:w="1159"/>
                  <w:tcBorders>
                    <w:top w:val="none" w:color="000000" w:sz="4"/>
                    <w:left w:val="single" w:color="000000" w:sz="4"/>
                    <w:bottom w:val="single" w:color="000000" w:sz="4"/>
                    <w:right w:val="single" w:color="000000" w:sz="4"/>
                  </w:tcBorders>
                  <w:vAlign w:val="top"/>
                </w:tcPr>
                <w:p>
                  <w:pPr>
                    <w:jc w:val="center"/>
                  </w:pPr>
                </w:p>
              </w:tc>
            </w:tr>
            <w:tr>
              <w:tc>
                <w:tcPr>
                  <w:tcW w:type="dxa" w:w="27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疫情防控</w:t>
                  </w:r>
                </w:p>
              </w:tc>
              <w:tc>
                <w:tcPr>
                  <w:tcW w:type="dxa" w:w="519"/>
                  <w:tcBorders>
                    <w:top w:val="none" w:color="000000" w:sz="4"/>
                    <w:left w:val="single" w:color="000000" w:sz="4"/>
                    <w:bottom w:val="single" w:color="000000" w:sz="4"/>
                    <w:right w:val="single" w:color="000000" w:sz="4"/>
                  </w:tcBorders>
                  <w:vAlign w:val="top"/>
                </w:tcPr>
                <w:p>
                  <w:pPr>
                    <w:jc w:val="left"/>
                  </w:pPr>
                  <w:r>
                    <w:rPr>
                      <w:sz w:val="21"/>
                    </w:rPr>
                    <w:t>配合有关部门做好疫点防控工作</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在病媒生物孳生高峰期或相关疫情（如登革热等）发生期间，要服从甲方的统一指挥，加强病媒生物防控工作。如承包区域发生登革热疫情，须按照发包人的要求对疫点及周边范围进行一次紧急防控。并积极配合区疾控部门组织的应急有偿疫点控制工作。</w:t>
                  </w:r>
                </w:p>
              </w:tc>
              <w:tc>
                <w:tcPr>
                  <w:tcW w:type="dxa" w:w="709"/>
                  <w:tcBorders>
                    <w:top w:val="none" w:color="000000" w:sz="4"/>
                    <w:left w:val="single" w:color="000000" w:sz="4"/>
                    <w:bottom w:val="single" w:color="000000" w:sz="4"/>
                    <w:right w:val="single" w:color="000000" w:sz="4"/>
                  </w:tcBorders>
                  <w:vAlign w:val="top"/>
                </w:tcPr>
                <w:p>
                  <w:pPr>
                    <w:jc w:val="center"/>
                  </w:pPr>
                  <w:r>
                    <w:rPr>
                      <w:sz w:val="21"/>
                    </w:rPr>
                    <w:t>按发包人或区疾控中心要求的时间开展</w:t>
                  </w:r>
                </w:p>
              </w:tc>
              <w:tc>
                <w:tcPr>
                  <w:tcW w:type="dxa" w:w="1159"/>
                  <w:tcBorders>
                    <w:top w:val="none" w:color="000000" w:sz="4"/>
                    <w:left w:val="single" w:color="000000" w:sz="4"/>
                    <w:bottom w:val="single" w:color="000000" w:sz="4"/>
                    <w:right w:val="single" w:color="000000" w:sz="4"/>
                  </w:tcBorders>
                  <w:vAlign w:val="top"/>
                </w:tcPr>
                <w:p>
                  <w:pPr>
                    <w:jc w:val="center"/>
                  </w:pPr>
                </w:p>
              </w:tc>
            </w:tr>
            <w:tr>
              <w:tc>
                <w:tcPr>
                  <w:tcW w:type="dxa" w:w="274"/>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18"/>
                  <w:tcBorders>
                    <w:top w:val="none" w:color="000000" w:sz="4"/>
                    <w:left w:val="single" w:color="000000" w:sz="4"/>
                    <w:bottom w:val="single" w:color="000000" w:sz="4"/>
                    <w:right w:val="single" w:color="000000" w:sz="4"/>
                  </w:tcBorders>
                  <w:vAlign w:val="top"/>
                </w:tcPr>
                <w:p>
                  <w:pPr>
                    <w:jc w:val="center"/>
                  </w:pPr>
                  <w:r>
                    <w:rPr>
                      <w:sz w:val="21"/>
                    </w:rPr>
                    <w:t>配合检查</w:t>
                  </w:r>
                </w:p>
              </w:tc>
              <w:tc>
                <w:tcPr>
                  <w:tcW w:type="dxa" w:w="519"/>
                  <w:tcBorders>
                    <w:top w:val="none" w:color="000000" w:sz="4"/>
                    <w:left w:val="single" w:color="000000" w:sz="4"/>
                    <w:bottom w:val="single" w:color="000000" w:sz="4"/>
                    <w:right w:val="single" w:color="000000" w:sz="4"/>
                  </w:tcBorders>
                  <w:vAlign w:val="top"/>
                </w:tcPr>
                <w:p>
                  <w:pPr>
                    <w:jc w:val="left"/>
                  </w:pPr>
                  <w:r>
                    <w:rPr>
                      <w:sz w:val="21"/>
                    </w:rPr>
                    <w:t>配合发包方、第三方开展承包质量考评检查。</w:t>
                  </w:r>
                </w:p>
              </w:tc>
              <w:tc>
                <w:tcPr>
                  <w:tcW w:type="dxa" w:w="2618"/>
                  <w:tcBorders>
                    <w:top w:val="none" w:color="000000" w:sz="4"/>
                    <w:left w:val="single" w:color="000000" w:sz="4"/>
                    <w:bottom w:val="single" w:color="000000" w:sz="4"/>
                    <w:right w:val="single" w:color="000000" w:sz="4"/>
                  </w:tcBorders>
                  <w:vAlign w:val="top"/>
                </w:tcPr>
                <w:p>
                  <w:pPr>
                    <w:jc w:val="left"/>
                  </w:pPr>
                  <w:r>
                    <w:rPr>
                      <w:sz w:val="21"/>
                    </w:rPr>
                    <w:t xml:space="preserve">  </w:t>
                  </w:r>
                  <w:r>
                    <w:rPr>
                      <w:sz w:val="21"/>
                    </w:rPr>
                    <w:t>发包方组织的日常检查，承包方要按要求派人及时跟进处理；服从第三方开展的监管考评日程安排，负责落实现场检查车辆、陪检人员、检查工具等。</w:t>
                  </w:r>
                </w:p>
              </w:tc>
              <w:tc>
                <w:tcPr>
                  <w:tcW w:type="dxa" w:w="709"/>
                  <w:tcBorders>
                    <w:top w:val="none" w:color="000000" w:sz="4"/>
                    <w:left w:val="single" w:color="000000" w:sz="4"/>
                    <w:bottom w:val="single" w:color="000000" w:sz="4"/>
                    <w:right w:val="single" w:color="000000" w:sz="4"/>
                  </w:tcBorders>
                  <w:vAlign w:val="top"/>
                </w:tcPr>
                <w:p>
                  <w:pPr>
                    <w:jc w:val="center"/>
                  </w:pPr>
                </w:p>
              </w:tc>
              <w:tc>
                <w:tcPr>
                  <w:tcW w:type="dxa" w:w="1159"/>
                  <w:tcBorders>
                    <w:top w:val="none" w:color="000000" w:sz="4"/>
                    <w:left w:val="single" w:color="000000" w:sz="4"/>
                    <w:bottom w:val="single" w:color="000000" w:sz="4"/>
                    <w:right w:val="single" w:color="000000" w:sz="4"/>
                  </w:tcBorders>
                  <w:vAlign w:val="top"/>
                </w:tcPr>
                <w:p>
                  <w:pPr>
                    <w:jc w:val="center"/>
                  </w:pPr>
                </w:p>
              </w:tc>
            </w:tr>
            <w:tr>
              <w:tc>
                <w:tcPr>
                  <w:tcW w:type="dxa" w:w="5597"/>
                  <w:gridSpan w:val="6"/>
                  <w:tcBorders>
                    <w:top w:val="none" w:color="000000" w:sz="4"/>
                    <w:left w:val="single" w:color="000000" w:sz="4"/>
                    <w:bottom w:val="single" w:color="000000" w:sz="4"/>
                    <w:right w:val="single" w:color="000000" w:sz="4"/>
                  </w:tcBorders>
                  <w:vAlign w:val="top"/>
                </w:tcPr>
                <w:p>
                  <w:pPr>
                    <w:jc w:val="left"/>
                  </w:pPr>
                  <w:r>
                    <w:rPr>
                      <w:sz w:val="21"/>
                    </w:rPr>
                    <w:t>注：</w:t>
                  </w:r>
                </w:p>
                <w:p>
                  <w:pPr>
                    <w:ind w:firstLine="420"/>
                    <w:jc w:val="left"/>
                  </w:pPr>
                  <w:r>
                    <w:rPr>
                      <w:sz w:val="21"/>
                    </w:rPr>
                    <w:t>1、开展施药行动要求出动足够人力、器械、车辆（工作车辆必须为四轮或以上合法小型汽车），统一工作服，做好安全防护。</w:t>
                  </w:r>
                </w:p>
                <w:p>
                  <w:pPr>
                    <w:jc w:val="left"/>
                  </w:pPr>
                  <w:r>
                    <w:rPr>
                      <w:sz w:val="21"/>
                    </w:rPr>
                    <w:t xml:space="preserve">    </w:t>
                  </w:r>
                  <w:r>
                    <w:rPr>
                      <w:sz w:val="21"/>
                    </w:rPr>
                    <w:t>2、用药要求：科学用药，不得使用国家违禁药物，使用卫生杀虫药物要符合农药“三证”要求。</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1.采购代理机构：本项目是指云浮市永诚招标代理有限公司，负责整个采购活动的组织，依法负责编制和发布磋商文件，对磋商文件拥有最终的解释权，不以任何身份出任磋商小组成员。</w:t>
      </w:r>
    </w:p>
    <w:p>
      <w:pPr>
        <w:ind w:firstLine="480"/>
      </w:pPr>
      <w:r>
        <w:rPr/>
        <w:t>2.采购人：本项目是指</w:t>
      </w:r>
      <w:r>
        <w:rPr/>
        <w:t>新兴县卫生健康局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不收取。</w:t>
            </w:r>
          </w:p>
        </w:tc>
      </w:tr>
      <w:tr>
        <w:tc>
          <w:tcPr>
            <w:tcW w:type="dxa" w:w="1051"/>
          </w:tcPr>
          <w:p>
            <w:pPr>
              <w:jc w:val="center"/>
            </w:pPr>
            <w:r>
              <w:rPr/>
              <w:t>16</w:t>
            </w:r>
          </w:p>
        </w:tc>
        <w:tc>
          <w:tcPr>
            <w:tcW w:type="dxa" w:w="2252"/>
          </w:tcPr>
          <w:p>
            <w:r>
              <w:rPr/>
              <w:t>代理服务费收取方式</w:t>
            </w:r>
          </w:p>
        </w:tc>
        <w:tc>
          <w:tcPr>
            <w:tcW w:type="dxa" w:w="5004"/>
          </w:tcPr>
          <w:p>
            <w:r>
              <w:rPr/>
              <w:t>不收取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云浮市永诚招标代理有限公司</w:t>
      </w:r>
      <w:r>
        <w:rPr/>
        <w:t>代收。具体操作要求详见</w:t>
      </w:r>
      <w:r>
        <w:rPr/>
        <w:t>云浮市永诚招标代理有限公司</w:t>
      </w:r>
      <w:r>
        <w:rPr/>
        <w:t>有关指引，递交事宜请自行咨询</w:t>
      </w:r>
      <w:r>
        <w:rPr/>
        <w:t>云浮市永诚招标代理有限公司</w:t>
      </w:r>
      <w:r>
        <w:rPr/>
        <w:t>；请各供应商在响应文件递交截止时间前按须知前附表规定的金额递交至</w:t>
      </w:r>
      <w:r>
        <w:rPr/>
        <w:t>云浮市永诚招标代理有限公司</w:t>
      </w:r>
      <w:r>
        <w:rPr/>
        <w:t>，到账情况以开启时</w:t>
      </w:r>
      <w:r>
        <w:rPr/>
        <w:t>云浮市永诚招标代理有限公司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练英杰</w:t>
      </w:r>
    </w:p>
    <w:p>
      <w:pPr>
        <w:ind w:firstLine="480"/>
      </w:pPr>
      <w:r>
        <w:rPr/>
        <w:t>电话：</w:t>
      </w:r>
      <w:r>
        <w:rPr/>
        <w:t>13826860687</w:t>
      </w:r>
    </w:p>
    <w:p>
      <w:pPr>
        <w:ind w:firstLine="480"/>
      </w:pPr>
      <w:r>
        <w:rPr/>
        <w:t>传真：</w:t>
      </w:r>
      <w:r>
        <w:rPr/>
        <w:t>0766-2937696</w:t>
      </w:r>
    </w:p>
    <w:p>
      <w:pPr>
        <w:ind w:firstLine="480"/>
      </w:pPr>
      <w:r>
        <w:rPr/>
        <w:t>邮箱：</w:t>
      </w:r>
      <w:r>
        <w:rPr/>
        <w:t>1263730073@qq.com</w:t>
      </w:r>
    </w:p>
    <w:p>
      <w:pPr>
        <w:ind w:firstLine="480"/>
      </w:pPr>
      <w:r>
        <w:rPr/>
        <w:t>地址：</w:t>
      </w:r>
      <w:r>
        <w:rPr/>
        <w:t>新兴县新城镇东堤中路3号百合山花园（商业街）首层28号商铺</w:t>
      </w:r>
    </w:p>
    <w:p>
      <w:pPr>
        <w:ind w:firstLine="480"/>
      </w:pPr>
      <w:r>
        <w:rPr/>
        <w:t>邮编：</w:t>
      </w:r>
      <w:r>
        <w:rPr/>
        <w:t>527434</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巩固卫生县公共环境病媒生物防制承包服务采购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云浮市永诚招标代理有限公司</w:t>
      </w:r>
      <w:r>
        <w:rPr/>
        <w:t>统一对外发布。</w:t>
      </w:r>
    </w:p>
    <w:p>
      <w:pPr>
        <w:ind w:firstLine="480"/>
      </w:pPr>
      <w:r>
        <w:rPr/>
        <w:t>（2）对</w:t>
      </w:r>
      <w:r>
        <w:rPr/>
        <w:t>云浮市永诚招标代理有限公司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采购包1（新兴县巩固卫生县公共环境病媒生物防制承包服务采购项目）：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采购包1（新兴县巩固卫生县公共环境病媒生物防制承包服务采购项目）：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w:t>
            </w:r>
          </w:p>
        </w:tc>
      </w:tr>
      <w:tr>
        <w:tc>
          <w:tcPr>
            <w:tcW w:type="dxa" w:w="890"/>
          </w:tcPr>
          <w:p>
            <w:r>
              <w:rPr/>
              <w:t>3</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w:t>
            </w:r>
          </w:p>
        </w:tc>
      </w:tr>
      <w:tr>
        <w:tc>
          <w:tcPr>
            <w:tcW w:type="dxa" w:w="890"/>
          </w:tcPr>
          <w:p>
            <w:r>
              <w:rPr/>
              <w:t>4</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采购包1（新兴县巩固卫生县公共环境病媒生物防制承包服务采购项目）：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具备竞争性磋商文件中规定资格要求的及资格证明文件齐全；</w:t>
            </w:r>
          </w:p>
        </w:tc>
        <w:tc>
          <w:tcPr>
            <w:tcW w:type="dxa" w:w="4238"/>
          </w:tcPr>
          <w:p>
            <w:r>
              <w:rPr/>
              <w:t>具备竞争性磋商文件中规定资格要求的及资格证明文件齐全；</w:t>
            </w:r>
          </w:p>
        </w:tc>
      </w:tr>
      <w:tr>
        <w:tc>
          <w:tcPr>
            <w:tcW w:type="dxa" w:w="890"/>
          </w:tcPr>
          <w:p>
            <w:r>
              <w:rPr/>
              <w:t>2</w:t>
            </w:r>
          </w:p>
        </w:tc>
        <w:tc>
          <w:tcPr>
            <w:tcW w:type="dxa" w:w="3178"/>
          </w:tcPr>
          <w:p>
            <w:r>
              <w:rPr/>
              <w:t>磋商函已提交并符合竞争性磋商文件要求的；</w:t>
            </w:r>
          </w:p>
        </w:tc>
        <w:tc>
          <w:tcPr>
            <w:tcW w:type="dxa" w:w="4238"/>
          </w:tcPr>
          <w:p>
            <w:r>
              <w:rPr/>
              <w:t>磋商函已提交并符合竞争性磋商文件要求的；</w:t>
            </w:r>
          </w:p>
        </w:tc>
      </w:tr>
      <w:tr>
        <w:tc>
          <w:tcPr>
            <w:tcW w:type="dxa" w:w="890"/>
          </w:tcPr>
          <w:p>
            <w:r>
              <w:rPr/>
              <w:t>3</w:t>
            </w:r>
          </w:p>
        </w:tc>
        <w:tc>
          <w:tcPr>
            <w:tcW w:type="dxa" w:w="3178"/>
          </w:tcPr>
          <w:p>
            <w:r>
              <w:rPr/>
              <w:t>按照竞争性磋商文件规定要求签署、盖章且响应文件有法定代表人签字，或签字人有法定代表人有效授权书的；</w:t>
            </w:r>
          </w:p>
        </w:tc>
        <w:tc>
          <w:tcPr>
            <w:tcW w:type="dxa" w:w="4238"/>
          </w:tcPr>
          <w:p>
            <w:r>
              <w:rPr/>
              <w:t>按照竞争性磋商文件规定要求签署、盖章且响应文件有法定代表人签字，或签字人有法定代表人有效授权书的；</w:t>
            </w:r>
          </w:p>
        </w:tc>
      </w:tr>
      <w:tr>
        <w:tc>
          <w:tcPr>
            <w:tcW w:type="dxa" w:w="890"/>
          </w:tcPr>
          <w:p>
            <w:r>
              <w:rPr/>
              <w:t>4</w:t>
            </w:r>
          </w:p>
        </w:tc>
        <w:tc>
          <w:tcPr>
            <w:tcW w:type="dxa" w:w="3178"/>
          </w:tcPr>
          <w:p>
            <w:r>
              <w:rPr/>
              <w:t>首次报价未超过本项目的最高限价；</w:t>
            </w:r>
          </w:p>
        </w:tc>
        <w:tc>
          <w:tcPr>
            <w:tcW w:type="dxa" w:w="4238"/>
          </w:tcPr>
          <w:p>
            <w:r>
              <w:rPr/>
              <w:t>首次报价未超过本项目的最高限价；</w:t>
            </w:r>
          </w:p>
        </w:tc>
      </w:tr>
      <w:tr>
        <w:tc>
          <w:tcPr>
            <w:tcW w:type="dxa" w:w="890"/>
          </w:tcPr>
          <w:p>
            <w:r>
              <w:rPr/>
              <w:t>5</w:t>
            </w:r>
          </w:p>
        </w:tc>
        <w:tc>
          <w:tcPr>
            <w:tcW w:type="dxa" w:w="3178"/>
          </w:tcPr>
          <w:p>
            <w:r>
              <w:rPr/>
              <w:t>响应文件完全满足竞争性磋商文件中标注★号条款无不响应或负偏离的</w:t>
            </w:r>
          </w:p>
        </w:tc>
        <w:tc>
          <w:tcPr>
            <w:tcW w:type="dxa" w:w="4238"/>
          </w:tcPr>
          <w:p>
            <w:r>
              <w:rPr/>
              <w:t>响应文件完全满足竞争性磋商文件中标注★号条款无不响应或负偏离的</w:t>
            </w:r>
          </w:p>
        </w:tc>
      </w:tr>
      <w:tr>
        <w:tc>
          <w:tcPr>
            <w:tcW w:type="dxa" w:w="890"/>
          </w:tcPr>
          <w:p>
            <w:r>
              <w:rPr/>
              <w:t>6</w:t>
            </w:r>
          </w:p>
        </w:tc>
        <w:tc>
          <w:tcPr>
            <w:tcW w:type="dxa" w:w="3178"/>
          </w:tcPr>
          <w:p>
            <w:r>
              <w:rPr/>
              <w:t>响应文件没有竞争性磋商文件中规定的其它无效投标条款的；</w:t>
            </w:r>
          </w:p>
        </w:tc>
        <w:tc>
          <w:tcPr>
            <w:tcW w:type="dxa" w:w="4238"/>
          </w:tcPr>
          <w:p>
            <w:r>
              <w:rPr/>
              <w:t>响应文件没有竞争性磋商文件中规定的其它无效投标条款的；</w:t>
            </w:r>
          </w:p>
        </w:tc>
      </w:tr>
      <w:tr>
        <w:tc>
          <w:tcPr>
            <w:tcW w:type="dxa" w:w="890"/>
          </w:tcPr>
          <w:p>
            <w:r>
              <w:rPr/>
              <w:t>7</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采购包1(新兴县巩固卫生县公共环境病媒生物防制承包服务采购项目):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技术部分45.0分</w:t>
            </w:r>
          </w:p>
          <w:p>
            <w:r>
              <w:rPr/>
              <w:t>报价得分25.0分</w:t>
            </w:r>
          </w:p>
          <w:p>
            <w:r>
              <w:rPr/>
              <w:t>附加分1.0分</w:t>
            </w:r>
          </w:p>
        </w:tc>
      </w:tr>
      <w:tr>
        <w:tc>
          <w:tcPr>
            <w:tcW w:type="dxa" w:w="922"/>
            <w:gridSpan w:val="2"/>
            <w:vMerge w:val="restart"/>
          </w:tcPr>
          <w:p>
            <w:pPr>
              <w:jc w:val="center"/>
            </w:pPr>
            <w:r>
              <w:rPr/>
              <w:t>技术部分</w:t>
            </w:r>
          </w:p>
        </w:tc>
        <w:tc>
          <w:tcPr>
            <w:tcW w:type="dxa" w:w="2307"/>
          </w:tcPr>
          <w:p>
            <w:pPr>
              <w:jc w:val="left"/>
            </w:pPr>
            <w:r>
              <w:rPr/>
              <w:t>服务方案 (7.0分)</w:t>
            </w:r>
          </w:p>
        </w:tc>
        <w:tc>
          <w:tcPr>
            <w:tcW w:type="dxa" w:w="5076"/>
          </w:tcPr>
          <w:p>
            <w:pPr>
              <w:jc w:val="left"/>
            </w:pPr>
            <w:r>
              <w:rPr/>
              <w:t>根据投标人针对本项目实际情况制定的服务方案以及投标人对整个项目的响应程度等综合评价： 1.服务方案完整、安全、可行，对项目服务内容完全响应的得7分； 2.服务方案比较完整、安全、可行，对项目服务内容完全响应的得4分， 3.服务方案安全、可行，对项目服务内容基本响应的得2分， 4.服务方案不完整，对项目服务内容无响应的得1分,不提供方案不得分。</w:t>
            </w:r>
          </w:p>
        </w:tc>
      </w:tr>
      <w:tr>
        <w:tc>
          <w:tcPr>
            <w:tcW w:type="dxa" w:w="922"/>
            <w:gridSpan w:val="2"/>
            <w:vMerge/>
          </w:tcPr>
          <w:p/>
        </w:tc>
        <w:tc>
          <w:tcPr>
            <w:tcW w:type="dxa" w:w="2307"/>
          </w:tcPr>
          <w:p>
            <w:pPr>
              <w:jc w:val="left"/>
            </w:pPr>
            <w:r>
              <w:rPr/>
              <w:t>人员配备 (20.0分)</w:t>
            </w:r>
          </w:p>
        </w:tc>
        <w:tc>
          <w:tcPr>
            <w:tcW w:type="dxa" w:w="5076"/>
          </w:tcPr>
          <w:p>
            <w:pPr>
              <w:jc w:val="left"/>
            </w:pPr>
            <w:r>
              <w:rPr/>
              <w:t>根据投标人现有在册人员配备情况进行评分： 1、拟投入本项目的项目负责人具有公共卫生、病媒生物预防控制、昆虫学、植保学、制药工程、农药学相关专业中任意一专业本科或以上学历，且取得人社部门（包括原劳动部门）颁发的病媒生物（有害生物）高级（三级）职业技术资格证书的得3分，否则不得分。 2、除项目负责人外，投入团队中有获得人社部门（包括原劳动部门）颁发的病媒生物（有害生物）高级（三级）或以上职业技术资格证书的每个得1分, 有获得人社部门（包括原劳动部门）颁发的病媒生物（有害生物）中级（四级）或初级（五级）职业技术资格证书的每个得0.5分,本项最高得17分。 注：以上所有人员须提供资格证明文件复印件及在投标单位近一年的社保证明复印件作为评审依据，否则不得分。</w:t>
            </w:r>
          </w:p>
        </w:tc>
      </w:tr>
      <w:tr>
        <w:tc>
          <w:tcPr>
            <w:tcW w:type="dxa" w:w="922"/>
            <w:gridSpan w:val="2"/>
            <w:vMerge/>
          </w:tcPr>
          <w:p/>
        </w:tc>
        <w:tc>
          <w:tcPr>
            <w:tcW w:type="dxa" w:w="2307"/>
          </w:tcPr>
          <w:p>
            <w:pPr>
              <w:jc w:val="left"/>
            </w:pPr>
            <w:r>
              <w:rPr/>
              <w:t>器械配备情况 (8.0分)</w:t>
            </w:r>
          </w:p>
        </w:tc>
        <w:tc>
          <w:tcPr>
            <w:tcW w:type="dxa" w:w="5076"/>
          </w:tcPr>
          <w:p>
            <w:pPr>
              <w:jc w:val="left"/>
            </w:pPr>
            <w:r>
              <w:rPr/>
              <w:t>1.配备1台（或以上）大500型车载式喷雾器的得2分，否则不得分； 2.配备TS-35A热烟雾机10台（或以上）、电动或机动超低容量喷雾机10台（或以上）、电动或机动常量喷雾机10台（或以上）的得2分，否则不得分； 3.配备2台（或以上）工程服务车的得2分，否则不得分； 4.配备1台（或以上）无人机设备的得2分，否则不得分； （以上须提供相应的购销发票复印件作为评审依据，工程服务车需提交车辆登记证复印件作为评审依据，否则本项不得分。）</w:t>
            </w:r>
          </w:p>
        </w:tc>
      </w:tr>
      <w:tr>
        <w:tc>
          <w:tcPr>
            <w:tcW w:type="dxa" w:w="922"/>
            <w:gridSpan w:val="2"/>
            <w:vMerge/>
          </w:tcPr>
          <w:p/>
        </w:tc>
        <w:tc>
          <w:tcPr>
            <w:tcW w:type="dxa" w:w="2307"/>
          </w:tcPr>
          <w:p>
            <w:pPr>
              <w:jc w:val="left"/>
            </w:pPr>
            <w:r>
              <w:rPr/>
              <w:t>管理规章制度的建设 (5.0分)</w:t>
            </w:r>
          </w:p>
        </w:tc>
        <w:tc>
          <w:tcPr>
            <w:tcW w:type="dxa" w:w="5076"/>
          </w:tcPr>
          <w:p>
            <w:pPr>
              <w:jc w:val="left"/>
            </w:pPr>
            <w:r>
              <w:rPr/>
              <w:t>根据供应商各项管理规章制度进行综合评审： 1、各项管理规章制度完善可行,得5分； 2、各项管理规章制度较完善、可行,得3分；  3、各项管理规章制度可行性一般,得2分；  4、各项管理规章制度可行性较差、不完善,得1分； 5、无相关表述不得分。</w:t>
            </w:r>
          </w:p>
        </w:tc>
      </w:tr>
      <w:tr>
        <w:tc>
          <w:tcPr>
            <w:tcW w:type="dxa" w:w="922"/>
            <w:gridSpan w:val="2"/>
            <w:vMerge/>
          </w:tcPr>
          <w:p/>
        </w:tc>
        <w:tc>
          <w:tcPr>
            <w:tcW w:type="dxa" w:w="2307"/>
          </w:tcPr>
          <w:p>
            <w:pPr>
              <w:jc w:val="left"/>
            </w:pPr>
            <w:r>
              <w:rPr/>
              <w:t>应急方案 (5.0分)</w:t>
            </w:r>
          </w:p>
        </w:tc>
        <w:tc>
          <w:tcPr>
            <w:tcW w:type="dxa" w:w="5076"/>
          </w:tcPr>
          <w:p>
            <w:pPr>
              <w:jc w:val="left"/>
            </w:pPr>
            <w:r>
              <w:rPr/>
              <w:t>根据供应商针对台风、暴雨等天气影响，重大接待任务，重大节假日或活动等特殊情况制定应急处理方案，包括传达机制、人员和设备调配、责任分工等进行综合评审。 1.优：应急方案科学合理，对于突发事件30分钟内可到达现场处理、并针对上述情况提出具体处理方案，可操作性强，得5分； 2.良：应急方案比较完整，能针对上述情况提出比较处理方案，可操作性比较强，得3分； 3.中：应急方案基本完整，处理方案基本合理，可操作性一般，得2分； 4.差：应急方案简单，不能应对上述情况，得1分。 5.未提供对应方案不得分。</w:t>
            </w:r>
          </w:p>
        </w:tc>
      </w:tr>
      <w:tr>
        <w:tc>
          <w:tcPr>
            <w:tcW w:type="dxa" w:w="922"/>
            <w:gridSpan w:val="2"/>
            <w:vMerge w:val="restart"/>
          </w:tcPr>
          <w:p>
            <w:pPr>
              <w:jc w:val="center"/>
            </w:pPr>
            <w:r>
              <w:rPr/>
              <w:t>商务部分</w:t>
            </w:r>
          </w:p>
        </w:tc>
        <w:tc>
          <w:tcPr>
            <w:tcW w:type="dxa" w:w="2307"/>
          </w:tcPr>
          <w:p>
            <w:pPr>
              <w:jc w:val="left"/>
            </w:pPr>
            <w:r>
              <w:rPr/>
              <w:t>同类业绩 (10.0分)</w:t>
            </w:r>
          </w:p>
        </w:tc>
        <w:tc>
          <w:tcPr>
            <w:tcW w:type="dxa" w:w="5076"/>
          </w:tcPr>
          <w:p>
            <w:pPr>
              <w:jc w:val="left"/>
            </w:pPr>
            <w:r>
              <w:rPr/>
              <w:t>1.根据投标人2021年1月至今（以合同签订时间为准）承揽过的同类别（如公共环境医疗卫生维护、除四害等）的项目业绩情况进行评分，每份2分，满分为10分。 注：投标文件中须提供中标通知书及相关合同的复印件作为评审依据，否则本项不得分。</w:t>
            </w:r>
          </w:p>
        </w:tc>
      </w:tr>
      <w:tr>
        <w:tc>
          <w:tcPr>
            <w:tcW w:type="dxa" w:w="922"/>
            <w:gridSpan w:val="2"/>
            <w:vMerge/>
          </w:tcPr>
          <w:p/>
        </w:tc>
        <w:tc>
          <w:tcPr>
            <w:tcW w:type="dxa" w:w="2307"/>
          </w:tcPr>
          <w:p>
            <w:pPr>
              <w:jc w:val="left"/>
            </w:pPr>
            <w:r>
              <w:rPr/>
              <w:t>企业服务经验 (7.0分)</w:t>
            </w:r>
          </w:p>
        </w:tc>
        <w:tc>
          <w:tcPr>
            <w:tcW w:type="dxa" w:w="5076"/>
          </w:tcPr>
          <w:p>
            <w:pPr>
              <w:jc w:val="left"/>
            </w:pPr>
            <w:r>
              <w:rPr/>
              <w:t>供应商自2021年1月份至今曾协助服务对象创建或巩固并获得国家卫生市（县城、镇）命名的1个得2分，获得省级卫生市（县城、镇）命名的一个得1分，本项满分得7分。 注：供应商应在磋商响应文件中提供相关合同的复印件并加盖供应商公章，须附上服务对象成功获得命名的权威网站公示页，否则本项不得分。</w:t>
            </w:r>
          </w:p>
        </w:tc>
      </w:tr>
      <w:tr>
        <w:tc>
          <w:tcPr>
            <w:tcW w:type="dxa" w:w="922"/>
            <w:gridSpan w:val="2"/>
            <w:vMerge/>
          </w:tcPr>
          <w:p/>
        </w:tc>
        <w:tc>
          <w:tcPr>
            <w:tcW w:type="dxa" w:w="2307"/>
          </w:tcPr>
          <w:p>
            <w:pPr>
              <w:jc w:val="left"/>
            </w:pPr>
            <w:r>
              <w:rPr/>
              <w:t>企业认证 (6.0分)</w:t>
            </w:r>
          </w:p>
        </w:tc>
        <w:tc>
          <w:tcPr>
            <w:tcW w:type="dxa" w:w="5076"/>
          </w:tcPr>
          <w:p>
            <w:pPr>
              <w:jc w:val="left"/>
            </w:pPr>
            <w:r>
              <w:rPr/>
              <w:t>投标人具有由国家认证认可监督管理部门批准设立的认证机构颁发并在有效期内的质量管理体系认证证书，环境管理体系认证书，职业健康安全管理体系证书证书，每个证书得2分，本项最高得6分。 注：须在投标文件中提供相关证书的复印件作为评审依据，否则本项不得分。</w:t>
            </w:r>
          </w:p>
        </w:tc>
      </w:tr>
      <w:tr>
        <w:tc>
          <w:tcPr>
            <w:tcW w:type="dxa" w:w="922"/>
            <w:gridSpan w:val="2"/>
            <w:vMerge/>
          </w:tcPr>
          <w:p/>
        </w:tc>
        <w:tc>
          <w:tcPr>
            <w:tcW w:type="dxa" w:w="2307"/>
          </w:tcPr>
          <w:p>
            <w:pPr>
              <w:jc w:val="left"/>
            </w:pPr>
            <w:r>
              <w:rPr/>
              <w:t>服务的便捷性及成熟性 (7.0分)</w:t>
            </w:r>
          </w:p>
        </w:tc>
        <w:tc>
          <w:tcPr>
            <w:tcW w:type="dxa" w:w="5076"/>
          </w:tcPr>
          <w:p>
            <w:pPr>
              <w:jc w:val="left"/>
            </w:pPr>
            <w:r>
              <w:rPr/>
              <w:t>1.接到采购人的服务通知后半小时内响应，30分钟内到达现场。2-3小时完成作业任务，得7分. 2.接到内采购人的服务通知后半小时响应，60分钟内到达现场。2-3小时完成作业任务，得4分. 3.接到内采购人的服务通知后半小时响应，90分钟内到达现场。2-3小时完成作业任务，得1分. 注：提供响应时间承诺书（格式自拟）加盖投标人公章并提供供应商服务点租赁合同及门面照片等材料作为评审依据，并提供租赁合同原件现场核查，否则本项不得分。</w:t>
            </w:r>
          </w:p>
        </w:tc>
      </w:tr>
      <w:tr>
        <w:tc>
          <w:tcPr>
            <w:tcW w:type="dxa" w:w="922"/>
            <w:gridSpan w:val="2"/>
          </w:tcPr>
          <w:p>
            <w:pPr>
              <w:jc w:val="center"/>
            </w:pPr>
            <w:r>
              <w:rPr/>
              <w:t>附加分</w:t>
            </w:r>
          </w:p>
        </w:tc>
        <w:tc>
          <w:tcPr>
            <w:tcW w:type="dxa" w:w="2307"/>
          </w:tcPr>
          <w:p>
            <w:pPr>
              <w:jc w:val="left"/>
            </w:pPr>
            <w:r>
              <w:rPr/>
              <w:t>优化响应 (1.0分)</w:t>
            </w:r>
          </w:p>
        </w:tc>
        <w:tc>
          <w:tcPr>
            <w:tcW w:type="dxa" w:w="5076"/>
          </w:tcPr>
          <w:p>
            <w:pPr>
              <w:jc w:val="left"/>
            </w:pPr>
            <w:r>
              <w:rPr/>
              <w:t>如投标人针对采购人需求提出更优化的服务方案、标准，并在不增加预算的情况下提供更多相关的服务，得1分。</w:t>
            </w:r>
          </w:p>
        </w:tc>
      </w:tr>
      <w:tr>
        <w:tc>
          <w:tcPr>
            <w:tcW w:type="dxa" w:w="922"/>
            <w:gridSpan w:val="2"/>
          </w:tcPr>
          <w:p>
            <w:pPr>
              <w:jc w:val="center"/>
            </w:pPr>
            <w:r>
              <w:rPr/>
              <w:t>投标报价</w:t>
            </w:r>
          </w:p>
        </w:tc>
        <w:tc>
          <w:tcPr>
            <w:tcW w:type="dxa" w:w="2307"/>
          </w:tcPr>
          <w:p>
            <w:pPr>
              <w:jc w:val="left"/>
            </w:pPr>
            <w:r>
              <w:rPr/>
              <w:t>投标报价得分 (25.0分)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445321-2023-01418</w:t>
      </w:r>
    </w:p>
    <w:p>
      <w:pPr>
        <w:jc w:val="center"/>
      </w:pPr>
      <w:r>
        <w:rPr>
          <w:b/>
          <w:sz w:val="24"/>
        </w:rPr>
        <w:t>采购项目编号：</w:t>
      </w:r>
      <w:r>
        <w:rPr>
          <w:b/>
          <w:sz w:val="24"/>
        </w:rPr>
        <w:t>YC23XX00ZC071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云浮市永诚招标代理有限公司</w:t>
      </w:r>
    </w:p>
    <w:p>
      <w:pPr>
        <w:ind w:firstLine="480"/>
      </w:pPr>
      <w:r>
        <w:rPr/>
        <w:t>你方组织的</w:t>
      </w:r>
      <w:r>
        <w:rPr>
          <w:u w:val="single"/>
        </w:rPr>
        <w:t>“</w:t>
      </w:r>
      <w:r>
        <w:rPr>
          <w:u w:val="single"/>
        </w:rPr>
        <w:t>新兴县巩固卫生县公共环境病媒生物防制承包服务采购项目</w:t>
      </w:r>
      <w:r>
        <w:rPr>
          <w:u w:val="single"/>
        </w:rPr>
        <w:t>”</w:t>
      </w:r>
      <w:r>
        <w:rPr/>
        <w:t>项目的竞争性磋商[采购项目编号为：</w:t>
      </w:r>
      <w:r>
        <w:rPr>
          <w:u w:val="single"/>
        </w:rPr>
        <w:t>YC23XX00ZC071</w:t>
      </w:r>
      <w:r>
        <w:rPr/>
        <w:t>]，我方愿参与响应。</w:t>
      </w:r>
    </w:p>
    <w:p>
      <w:pPr>
        <w:ind w:firstLine="480"/>
      </w:pPr>
      <w:r>
        <w:rPr/>
        <w:t>我方确认收到贵方提供的</w:t>
      </w:r>
      <w:r>
        <w:rPr>
          <w:u w:val="single"/>
        </w:rPr>
        <w:t>“</w:t>
      </w:r>
      <w:r>
        <w:rPr>
          <w:u w:val="single"/>
        </w:rPr>
        <w:t>新兴县巩固卫生县公共环境病媒生物防制承包服务采购项目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云浮市永诚招标代理有限公司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新兴县巩固卫生县公共环境病媒生物防制承包服务采购项目</w:t>
      </w:r>
      <w:r>
        <w:rPr/>
        <w:t>”项目采购[采购项目编号为</w:t>
      </w:r>
      <w:r>
        <w:rPr/>
        <w:t>YC23XX00ZC071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新兴县卫生健康局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云浮市永诚招标代理有限公司</w:t>
      </w:r>
    </w:p>
    <w:p>
      <w:pPr>
        <w:ind w:firstLine="480"/>
      </w:pPr>
      <w:r>
        <w:rPr/>
        <w:t>我单位参加贵公司组织的</w:t>
      </w:r>
      <w:r>
        <w:rPr/>
        <w:t>新兴县巩固卫生县公共环境病媒生物防制承包服务采购项目</w:t>
      </w:r>
      <w:r>
        <w:rPr/>
        <w:t>（采购项目编号：</w:t>
      </w:r>
      <w:r>
        <w:rPr/>
        <w:t>YC23XX00ZC071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云浮市永诚招标代理有限公司</w:t>
      </w:r>
    </w:p>
    <w:p>
      <w:pPr>
        <w:ind w:firstLine="480"/>
      </w:pPr>
      <w:r>
        <w:rPr/>
        <w:t>我单位已登记并准备参与“</w:t>
      </w:r>
      <w:r>
        <w:rPr/>
        <w:t>新兴县巩固卫生县公共环境病媒生物防制承包服务采购项目</w:t>
      </w:r>
      <w:r>
        <w:rPr/>
        <w:t>”项目（采购项目编号：</w:t>
      </w:r>
      <w:r>
        <w:rPr/>
        <w:t>YC23XX00ZC071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